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960B1" w14:textId="77777777" w:rsidR="0053190E" w:rsidRDefault="0053190E">
      <w:pPr>
        <w:adjustRightInd w:val="0"/>
        <w:snapToGrid w:val="0"/>
        <w:jc w:val="center"/>
        <w:rPr>
          <w:rFonts w:ascii="彩虹粗仿宋" w:eastAsia="彩虹粗仿宋" w:hAnsi="宋体" w:cs="Arial"/>
          <w:sz w:val="24"/>
        </w:rPr>
      </w:pPr>
    </w:p>
    <w:p w14:paraId="3C5F4A68" w14:textId="77777777" w:rsidR="0053190E" w:rsidRDefault="0053190E">
      <w:pPr>
        <w:adjustRightInd w:val="0"/>
        <w:snapToGrid w:val="0"/>
        <w:jc w:val="center"/>
        <w:rPr>
          <w:rFonts w:ascii="彩虹粗仿宋" w:eastAsia="彩虹粗仿宋" w:hAnsi="宋体" w:cs="Arial"/>
          <w:sz w:val="24"/>
        </w:rPr>
      </w:pPr>
    </w:p>
    <w:p w14:paraId="2EB64509" w14:textId="77777777" w:rsidR="0053190E" w:rsidRDefault="0053190E">
      <w:pPr>
        <w:adjustRightInd w:val="0"/>
        <w:snapToGrid w:val="0"/>
        <w:jc w:val="center"/>
        <w:rPr>
          <w:rFonts w:ascii="彩虹粗仿宋" w:eastAsia="彩虹粗仿宋" w:hAnsi="宋体" w:cs="Arial"/>
          <w:sz w:val="24"/>
        </w:rPr>
      </w:pPr>
    </w:p>
    <w:p w14:paraId="2183282A" w14:textId="77777777" w:rsidR="0053190E" w:rsidRDefault="0053190E">
      <w:pPr>
        <w:adjustRightInd w:val="0"/>
        <w:snapToGrid w:val="0"/>
        <w:jc w:val="center"/>
        <w:rPr>
          <w:rFonts w:ascii="彩虹粗仿宋" w:eastAsia="彩虹粗仿宋" w:hAnsi="宋体" w:cs="Arial"/>
          <w:sz w:val="24"/>
        </w:rPr>
      </w:pPr>
    </w:p>
    <w:p w14:paraId="3FA88815" w14:textId="77777777" w:rsidR="0053190E" w:rsidRDefault="0053190E">
      <w:pPr>
        <w:adjustRightInd w:val="0"/>
        <w:snapToGrid w:val="0"/>
        <w:jc w:val="center"/>
        <w:rPr>
          <w:rFonts w:ascii="彩虹粗仿宋" w:eastAsia="彩虹粗仿宋" w:hAnsi="宋体" w:cs="Arial"/>
          <w:sz w:val="24"/>
        </w:rPr>
      </w:pPr>
    </w:p>
    <w:p w14:paraId="3F7969A4" w14:textId="77777777" w:rsidR="0053190E" w:rsidRDefault="0053190E">
      <w:pPr>
        <w:adjustRightInd w:val="0"/>
        <w:snapToGrid w:val="0"/>
        <w:jc w:val="center"/>
        <w:rPr>
          <w:rFonts w:ascii="彩虹粗仿宋" w:eastAsia="彩虹粗仿宋" w:hAnsi="宋体" w:cs="Arial"/>
          <w:sz w:val="24"/>
        </w:rPr>
      </w:pPr>
    </w:p>
    <w:p w14:paraId="2FD69484" w14:textId="77777777" w:rsidR="0053190E" w:rsidRDefault="0053190E">
      <w:pPr>
        <w:adjustRightInd w:val="0"/>
        <w:snapToGrid w:val="0"/>
        <w:jc w:val="center"/>
        <w:rPr>
          <w:rFonts w:ascii="彩虹粗仿宋" w:eastAsia="彩虹粗仿宋" w:hAnsi="宋体" w:cs="Arial"/>
          <w:sz w:val="24"/>
        </w:rPr>
      </w:pPr>
    </w:p>
    <w:p w14:paraId="560C60EC" w14:textId="77777777" w:rsidR="0053190E" w:rsidRDefault="0053190E">
      <w:pPr>
        <w:adjustRightInd w:val="0"/>
        <w:snapToGrid w:val="0"/>
        <w:jc w:val="center"/>
        <w:rPr>
          <w:rFonts w:ascii="彩虹粗仿宋" w:eastAsia="彩虹粗仿宋" w:hAnsi="宋体" w:cs="Arial"/>
          <w:sz w:val="24"/>
        </w:rPr>
      </w:pPr>
    </w:p>
    <w:p w14:paraId="33EF16D3" w14:textId="0D95A09B" w:rsidR="0053190E" w:rsidRDefault="000529FB">
      <w:pPr>
        <w:adjustRightInd w:val="0"/>
        <w:snapToGrid w:val="0"/>
        <w:jc w:val="center"/>
        <w:rPr>
          <w:rFonts w:ascii="彩虹粗仿宋" w:eastAsia="彩虹粗仿宋" w:hAnsi="宋体" w:cs="Arial"/>
          <w:b/>
          <w:sz w:val="44"/>
        </w:rPr>
      </w:pPr>
      <w:proofErr w:type="gramStart"/>
      <w:r>
        <w:rPr>
          <w:rFonts w:ascii="彩虹粗仿宋" w:eastAsia="彩虹粗仿宋" w:hAnsi="宋体" w:cs="Arial" w:hint="eastAsia"/>
          <w:b/>
          <w:sz w:val="44"/>
        </w:rPr>
        <w:t>鹏华添和</w:t>
      </w:r>
      <w:proofErr w:type="gramEnd"/>
      <w:r>
        <w:rPr>
          <w:rFonts w:ascii="彩虹粗仿宋" w:eastAsia="彩虹粗仿宋" w:hAnsi="宋体" w:cs="Arial" w:hint="eastAsia"/>
          <w:b/>
          <w:sz w:val="44"/>
        </w:rPr>
        <w:t>30天持有期债券型</w:t>
      </w:r>
    </w:p>
    <w:p w14:paraId="764B755D" w14:textId="77777777" w:rsidR="0053190E" w:rsidRDefault="000529FB">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证券投资基金</w:t>
      </w:r>
    </w:p>
    <w:p w14:paraId="47E27363" w14:textId="25626EDA" w:rsidR="0053190E" w:rsidRDefault="000529FB">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55716784" w14:textId="77777777" w:rsidR="0053190E" w:rsidRDefault="0053190E">
      <w:pPr>
        <w:adjustRightInd w:val="0"/>
        <w:snapToGrid w:val="0"/>
        <w:jc w:val="center"/>
        <w:rPr>
          <w:rFonts w:ascii="彩虹粗仿宋" w:eastAsia="彩虹粗仿宋" w:hAnsi="宋体" w:cs="Arial"/>
          <w:sz w:val="24"/>
        </w:rPr>
      </w:pPr>
    </w:p>
    <w:p w14:paraId="7A9D28E3" w14:textId="77777777" w:rsidR="0053190E" w:rsidRDefault="0053190E">
      <w:pPr>
        <w:adjustRightInd w:val="0"/>
        <w:snapToGrid w:val="0"/>
        <w:jc w:val="center"/>
        <w:rPr>
          <w:rFonts w:ascii="彩虹粗仿宋" w:eastAsia="彩虹粗仿宋" w:hAnsi="宋体" w:cs="Arial"/>
          <w:sz w:val="24"/>
        </w:rPr>
      </w:pPr>
    </w:p>
    <w:p w14:paraId="7A3688EB" w14:textId="77777777" w:rsidR="0053190E" w:rsidRDefault="0053190E">
      <w:pPr>
        <w:adjustRightInd w:val="0"/>
        <w:snapToGrid w:val="0"/>
        <w:jc w:val="center"/>
        <w:rPr>
          <w:rFonts w:ascii="彩虹粗仿宋" w:eastAsia="彩虹粗仿宋" w:hAnsi="宋体" w:cs="Arial"/>
          <w:sz w:val="24"/>
        </w:rPr>
      </w:pPr>
    </w:p>
    <w:p w14:paraId="192F9456" w14:textId="77777777" w:rsidR="0053190E" w:rsidRDefault="0053190E">
      <w:pPr>
        <w:adjustRightInd w:val="0"/>
        <w:snapToGrid w:val="0"/>
        <w:jc w:val="center"/>
        <w:rPr>
          <w:rFonts w:ascii="彩虹粗仿宋" w:eastAsia="彩虹粗仿宋" w:hAnsi="宋体" w:cs="Arial"/>
          <w:sz w:val="24"/>
        </w:rPr>
      </w:pPr>
    </w:p>
    <w:p w14:paraId="515A6F8C" w14:textId="77777777" w:rsidR="0053190E" w:rsidRDefault="0053190E">
      <w:pPr>
        <w:adjustRightInd w:val="0"/>
        <w:snapToGrid w:val="0"/>
        <w:jc w:val="center"/>
        <w:rPr>
          <w:rFonts w:ascii="彩虹粗仿宋" w:eastAsia="彩虹粗仿宋" w:hAnsi="宋体" w:cs="Arial"/>
          <w:sz w:val="24"/>
        </w:rPr>
      </w:pPr>
    </w:p>
    <w:p w14:paraId="15763291" w14:textId="77777777" w:rsidR="0053190E" w:rsidRDefault="0053190E">
      <w:pPr>
        <w:adjustRightInd w:val="0"/>
        <w:snapToGrid w:val="0"/>
        <w:jc w:val="center"/>
        <w:rPr>
          <w:rFonts w:ascii="彩虹粗仿宋" w:eastAsia="彩虹粗仿宋" w:hAnsi="宋体" w:cs="Arial"/>
          <w:sz w:val="24"/>
        </w:rPr>
      </w:pPr>
    </w:p>
    <w:p w14:paraId="727E9CF2" w14:textId="77777777" w:rsidR="0053190E" w:rsidRDefault="0053190E">
      <w:pPr>
        <w:adjustRightInd w:val="0"/>
        <w:snapToGrid w:val="0"/>
        <w:jc w:val="center"/>
        <w:rPr>
          <w:rFonts w:ascii="彩虹粗仿宋" w:eastAsia="彩虹粗仿宋" w:hAnsi="宋体" w:cs="Arial"/>
          <w:sz w:val="24"/>
        </w:rPr>
      </w:pPr>
    </w:p>
    <w:p w14:paraId="7E57D98F" w14:textId="77777777" w:rsidR="0053190E" w:rsidRDefault="0053190E">
      <w:pPr>
        <w:adjustRightInd w:val="0"/>
        <w:snapToGrid w:val="0"/>
        <w:jc w:val="center"/>
        <w:rPr>
          <w:rFonts w:ascii="彩虹粗仿宋" w:eastAsia="彩虹粗仿宋" w:hAnsi="宋体" w:cs="Arial"/>
          <w:sz w:val="24"/>
        </w:rPr>
      </w:pPr>
    </w:p>
    <w:p w14:paraId="0B4247A7" w14:textId="77777777" w:rsidR="0053190E" w:rsidRDefault="0053190E">
      <w:pPr>
        <w:adjustRightInd w:val="0"/>
        <w:snapToGrid w:val="0"/>
        <w:jc w:val="center"/>
        <w:rPr>
          <w:rFonts w:ascii="彩虹粗仿宋" w:eastAsia="彩虹粗仿宋" w:hAnsi="宋体" w:cs="Arial"/>
          <w:sz w:val="24"/>
        </w:rPr>
      </w:pPr>
    </w:p>
    <w:p w14:paraId="08C37929" w14:textId="77777777" w:rsidR="0053190E" w:rsidRDefault="0053190E">
      <w:pPr>
        <w:adjustRightInd w:val="0"/>
        <w:snapToGrid w:val="0"/>
        <w:jc w:val="center"/>
        <w:rPr>
          <w:rFonts w:ascii="彩虹粗仿宋" w:eastAsia="彩虹粗仿宋" w:hAnsi="宋体" w:cs="Arial"/>
          <w:sz w:val="24"/>
        </w:rPr>
      </w:pPr>
    </w:p>
    <w:p w14:paraId="4E0BC2CE" w14:textId="77777777" w:rsidR="0053190E" w:rsidRDefault="000529FB">
      <w:pPr>
        <w:adjustRightInd w:val="0"/>
        <w:snapToGrid w:val="0"/>
        <w:jc w:val="center"/>
        <w:rPr>
          <w:rFonts w:ascii="彩虹粗仿宋" w:eastAsia="彩虹粗仿宋" w:hAnsi="宋体" w:cs="Arial"/>
          <w:b/>
          <w:bCs/>
          <w:sz w:val="28"/>
        </w:rPr>
      </w:pPr>
      <w:r>
        <w:rPr>
          <w:rFonts w:ascii="彩虹粗仿宋" w:eastAsia="彩虹粗仿宋" w:hAnsi="宋体" w:cs="Arial" w:hint="eastAsia"/>
          <w:b/>
          <w:bCs/>
          <w:sz w:val="28"/>
        </w:rPr>
        <w:t>基金管理人：鹏华基金管理有限公司</w:t>
      </w:r>
    </w:p>
    <w:p w14:paraId="343D396B" w14:textId="77777777" w:rsidR="0053190E" w:rsidRDefault="000529FB">
      <w:pPr>
        <w:adjustRightInd w:val="0"/>
        <w:snapToGrid w:val="0"/>
        <w:jc w:val="center"/>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2BD09CE2" w14:textId="77777777" w:rsidR="0053190E" w:rsidRDefault="0053190E">
      <w:pPr>
        <w:adjustRightInd w:val="0"/>
        <w:snapToGrid w:val="0"/>
        <w:jc w:val="center"/>
        <w:rPr>
          <w:rFonts w:ascii="彩虹粗仿宋" w:eastAsia="彩虹粗仿宋" w:hAnsi="宋体" w:cs="Arial"/>
          <w:sz w:val="24"/>
        </w:rPr>
      </w:pPr>
    </w:p>
    <w:p w14:paraId="7D1F49DD" w14:textId="77777777" w:rsidR="0053190E" w:rsidRDefault="0053190E">
      <w:pPr>
        <w:adjustRightInd w:val="0"/>
        <w:snapToGrid w:val="0"/>
        <w:jc w:val="center"/>
        <w:rPr>
          <w:rFonts w:ascii="彩虹粗仿宋" w:eastAsia="彩虹粗仿宋" w:hAnsi="宋体" w:cs="Arial"/>
          <w:sz w:val="24"/>
        </w:rPr>
      </w:pPr>
    </w:p>
    <w:p w14:paraId="3461933B" w14:textId="77777777" w:rsidR="0053190E" w:rsidRDefault="0053190E">
      <w:pPr>
        <w:adjustRightInd w:val="0"/>
        <w:snapToGrid w:val="0"/>
        <w:jc w:val="center"/>
        <w:rPr>
          <w:rFonts w:ascii="彩虹粗仿宋" w:eastAsia="彩虹粗仿宋" w:hAnsi="宋体" w:cs="Arial"/>
          <w:sz w:val="24"/>
        </w:rPr>
      </w:pPr>
    </w:p>
    <w:p w14:paraId="1E5A004C" w14:textId="77777777" w:rsidR="0053190E" w:rsidRDefault="0053190E">
      <w:pPr>
        <w:adjustRightInd w:val="0"/>
        <w:snapToGrid w:val="0"/>
        <w:jc w:val="center"/>
        <w:rPr>
          <w:rFonts w:ascii="彩虹粗仿宋" w:eastAsia="彩虹粗仿宋" w:hAnsi="宋体" w:cs="Arial"/>
          <w:sz w:val="24"/>
        </w:rPr>
      </w:pPr>
    </w:p>
    <w:p w14:paraId="7DCA307B" w14:textId="77777777" w:rsidR="0053190E" w:rsidRDefault="0053190E">
      <w:pPr>
        <w:adjustRightInd w:val="0"/>
        <w:snapToGrid w:val="0"/>
        <w:jc w:val="center"/>
        <w:rPr>
          <w:rFonts w:ascii="彩虹粗仿宋" w:eastAsia="彩虹粗仿宋" w:hAnsi="宋体" w:cs="Arial"/>
          <w:sz w:val="24"/>
        </w:rPr>
      </w:pPr>
    </w:p>
    <w:p w14:paraId="50B2ECD2" w14:textId="5E661426" w:rsidR="0053190E" w:rsidRDefault="000529FB">
      <w:pPr>
        <w:adjustRightInd w:val="0"/>
        <w:snapToGrid w:val="0"/>
        <w:rPr>
          <w:rFonts w:ascii="彩虹粗仿宋" w:eastAsia="彩虹粗仿宋" w:hAnsi="宋体" w:cs="Arial"/>
          <w:sz w:val="24"/>
        </w:rPr>
      </w:pPr>
      <w:r>
        <w:rPr>
          <w:rFonts w:ascii="彩虹粗仿宋" w:eastAsia="彩虹粗仿宋" w:hAnsi="宋体" w:cs="Arial" w:hint="eastAsia"/>
          <w:sz w:val="24"/>
        </w:rPr>
        <w:t xml:space="preserve">                            </w:t>
      </w:r>
      <w:r w:rsidR="00FC51B3">
        <w:rPr>
          <w:rFonts w:ascii="彩虹粗仿宋" w:eastAsia="彩虹粗仿宋" w:hAnsi="宋体" w:cs="Arial" w:hint="eastAsia"/>
          <w:sz w:val="24"/>
        </w:rPr>
        <w:t>二零二五年一月</w:t>
      </w:r>
    </w:p>
    <w:p w14:paraId="7B342427" w14:textId="77777777" w:rsidR="0053190E" w:rsidRDefault="000529FB">
      <w:pPr>
        <w:widowControl/>
        <w:jc w:val="left"/>
        <w:rPr>
          <w:rFonts w:ascii="彩虹粗仿宋" w:eastAsia="彩虹粗仿宋" w:hAnsi="宋体" w:cs="Arial"/>
          <w:sz w:val="24"/>
        </w:rPr>
      </w:pPr>
      <w:r>
        <w:rPr>
          <w:rFonts w:ascii="彩虹粗仿宋" w:eastAsia="彩虹粗仿宋" w:hAnsi="宋体" w:cs="Arial"/>
          <w:sz w:val="24"/>
        </w:rPr>
        <w:br w:type="page"/>
      </w:r>
    </w:p>
    <w:p w14:paraId="641265DB" w14:textId="77777777" w:rsidR="0053190E" w:rsidRDefault="000529FB">
      <w:pPr>
        <w:jc w:val="center"/>
        <w:rPr>
          <w:rFonts w:ascii="彩虹粗仿宋" w:eastAsia="彩虹粗仿宋"/>
          <w:b/>
          <w:bCs/>
          <w:sz w:val="32"/>
        </w:rPr>
      </w:pPr>
      <w:r>
        <w:rPr>
          <w:rFonts w:ascii="彩虹粗仿宋" w:eastAsia="彩虹粗仿宋" w:hint="eastAsia"/>
          <w:b/>
          <w:bCs/>
          <w:sz w:val="32"/>
        </w:rPr>
        <w:lastRenderedPageBreak/>
        <w:t>目</w:t>
      </w:r>
      <w:r>
        <w:rPr>
          <w:rFonts w:ascii="彩虹粗仿宋" w:eastAsia="彩虹粗仿宋"/>
          <w:b/>
          <w:bCs/>
          <w:sz w:val="32"/>
        </w:rPr>
        <w:t xml:space="preserve">    </w:t>
      </w:r>
      <w:r>
        <w:rPr>
          <w:rFonts w:ascii="彩虹粗仿宋" w:eastAsia="彩虹粗仿宋" w:hint="eastAsia"/>
          <w:b/>
          <w:bCs/>
          <w:sz w:val="32"/>
        </w:rPr>
        <w:t>录</w:t>
      </w:r>
    </w:p>
    <w:p w14:paraId="7C5CE6E0" w14:textId="77777777" w:rsidR="0053190E" w:rsidRDefault="000529FB">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
            <w:rFonts w:ascii="彩虹粗仿宋" w:eastAsia="彩虹粗仿宋"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C521D">
          <w:rPr>
            <w:rFonts w:ascii="彩虹粗仿宋" w:eastAsia="彩虹粗仿宋" w:hAnsi="宋体"/>
            <w:noProof/>
            <w:sz w:val="28"/>
          </w:rPr>
          <w:t>3</w:t>
        </w:r>
        <w:r>
          <w:rPr>
            <w:rFonts w:ascii="彩虹粗仿宋" w:eastAsia="彩虹粗仿宋" w:hAnsi="宋体" w:hint="eastAsia"/>
            <w:noProof/>
            <w:sz w:val="28"/>
          </w:rPr>
          <w:fldChar w:fldCharType="end"/>
        </w:r>
      </w:hyperlink>
    </w:p>
    <w:p w14:paraId="13121C82" w14:textId="77777777" w:rsidR="0053190E" w:rsidRDefault="004155BC">
      <w:pPr>
        <w:pStyle w:val="21"/>
        <w:tabs>
          <w:tab w:val="right" w:leader="dot" w:pos="8494"/>
        </w:tabs>
        <w:rPr>
          <w:rFonts w:ascii="彩虹粗仿宋" w:eastAsia="彩虹粗仿宋" w:hAnsi="宋体"/>
          <w:noProof/>
          <w:sz w:val="28"/>
        </w:rPr>
      </w:pPr>
      <w:hyperlink w:anchor="_Toc124325886" w:history="1">
        <w:r w:rsidR="000529FB">
          <w:rPr>
            <w:rStyle w:val="af"/>
            <w:rFonts w:ascii="彩虹粗仿宋" w:eastAsia="彩虹粗仿宋" w:hint="eastAsia"/>
            <w:noProof/>
            <w:sz w:val="28"/>
            <w:szCs w:val="32"/>
          </w:rPr>
          <w:t>二、基金托管协议的依据、目的和原则</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_Toc124325886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4</w:t>
        </w:r>
        <w:r w:rsidR="000529FB">
          <w:rPr>
            <w:rFonts w:ascii="彩虹粗仿宋" w:eastAsia="彩虹粗仿宋" w:hAnsi="宋体" w:hint="eastAsia"/>
            <w:noProof/>
            <w:sz w:val="28"/>
          </w:rPr>
          <w:fldChar w:fldCharType="end"/>
        </w:r>
      </w:hyperlink>
    </w:p>
    <w:p w14:paraId="38DC67E4" w14:textId="4CC1980C" w:rsidR="0053190E" w:rsidRDefault="004155BC">
      <w:pPr>
        <w:pStyle w:val="21"/>
        <w:tabs>
          <w:tab w:val="right" w:leader="dot" w:pos="8494"/>
        </w:tabs>
        <w:rPr>
          <w:rFonts w:ascii="彩虹粗仿宋" w:eastAsia="彩虹粗仿宋" w:hAnsi="宋体"/>
          <w:noProof/>
          <w:sz w:val="28"/>
        </w:rPr>
      </w:pPr>
      <w:hyperlink w:anchor="_Toc124325887" w:history="1">
        <w:r w:rsidR="000529FB">
          <w:rPr>
            <w:rStyle w:val="af"/>
            <w:rFonts w:ascii="彩虹粗仿宋" w:eastAsia="彩虹粗仿宋" w:hint="eastAsia"/>
            <w:noProof/>
            <w:sz w:val="28"/>
            <w:szCs w:val="32"/>
          </w:rPr>
          <w:t>三、基金托管人对基金管理人的业务监督和核查</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_Toc124325887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5</w:t>
        </w:r>
        <w:r w:rsidR="000529FB">
          <w:rPr>
            <w:rFonts w:ascii="彩虹粗仿宋" w:eastAsia="彩虹粗仿宋" w:hAnsi="宋体" w:hint="eastAsia"/>
            <w:noProof/>
            <w:sz w:val="28"/>
          </w:rPr>
          <w:fldChar w:fldCharType="end"/>
        </w:r>
      </w:hyperlink>
    </w:p>
    <w:p w14:paraId="7A8A664C" w14:textId="39F2DAD4" w:rsidR="0053190E" w:rsidRDefault="004155BC">
      <w:pPr>
        <w:pStyle w:val="21"/>
        <w:tabs>
          <w:tab w:val="right" w:leader="dot" w:pos="8494"/>
        </w:tabs>
        <w:rPr>
          <w:rFonts w:ascii="彩虹粗仿宋" w:eastAsia="彩虹粗仿宋" w:hAnsi="宋体"/>
          <w:noProof/>
          <w:sz w:val="28"/>
        </w:rPr>
      </w:pPr>
      <w:hyperlink w:anchor="_Toc124325888" w:history="1">
        <w:r w:rsidR="000529FB">
          <w:rPr>
            <w:rStyle w:val="af"/>
            <w:rFonts w:ascii="彩虹粗仿宋" w:eastAsia="彩虹粗仿宋" w:hint="eastAsia"/>
            <w:noProof/>
            <w:sz w:val="28"/>
            <w:szCs w:val="32"/>
          </w:rPr>
          <w:t>四、基金管理人对基金托管人的业务核查</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_Toc124325888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8</w:t>
        </w:r>
        <w:r w:rsidR="000529FB">
          <w:rPr>
            <w:rFonts w:ascii="彩虹粗仿宋" w:eastAsia="彩虹粗仿宋" w:hAnsi="宋体" w:hint="eastAsia"/>
            <w:noProof/>
            <w:sz w:val="28"/>
          </w:rPr>
          <w:fldChar w:fldCharType="end"/>
        </w:r>
      </w:hyperlink>
    </w:p>
    <w:p w14:paraId="2A8374F6" w14:textId="34C1C205" w:rsidR="0053190E" w:rsidRDefault="004155BC">
      <w:pPr>
        <w:pStyle w:val="21"/>
        <w:tabs>
          <w:tab w:val="right" w:leader="dot" w:pos="8494"/>
        </w:tabs>
        <w:rPr>
          <w:rFonts w:ascii="彩虹粗仿宋" w:eastAsia="彩虹粗仿宋" w:hAnsi="宋体"/>
          <w:noProof/>
          <w:sz w:val="28"/>
        </w:rPr>
      </w:pPr>
      <w:hyperlink w:anchor="_Toc124325889" w:history="1">
        <w:r w:rsidR="000529FB">
          <w:rPr>
            <w:rStyle w:val="af"/>
            <w:rFonts w:ascii="彩虹粗仿宋" w:eastAsia="彩虹粗仿宋" w:hint="eastAsia"/>
            <w:noProof/>
            <w:sz w:val="28"/>
            <w:szCs w:val="32"/>
          </w:rPr>
          <w:t>五、基金财产的保管</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_Toc124325889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8</w:t>
        </w:r>
        <w:r w:rsidR="000529FB">
          <w:rPr>
            <w:rFonts w:ascii="彩虹粗仿宋" w:eastAsia="彩虹粗仿宋" w:hAnsi="宋体" w:hint="eastAsia"/>
            <w:noProof/>
            <w:sz w:val="28"/>
          </w:rPr>
          <w:fldChar w:fldCharType="end"/>
        </w:r>
      </w:hyperlink>
    </w:p>
    <w:p w14:paraId="102AC4E1" w14:textId="083D0CD7" w:rsidR="0053190E" w:rsidRDefault="004155BC">
      <w:pPr>
        <w:pStyle w:val="21"/>
        <w:tabs>
          <w:tab w:val="right" w:leader="dot" w:pos="8494"/>
        </w:tabs>
        <w:rPr>
          <w:rFonts w:ascii="彩虹粗仿宋" w:eastAsia="彩虹粗仿宋" w:hAnsi="宋体"/>
          <w:noProof/>
          <w:sz w:val="28"/>
        </w:rPr>
      </w:pPr>
      <w:hyperlink w:anchor="_Toc124325890" w:history="1">
        <w:r w:rsidR="000529FB">
          <w:rPr>
            <w:rStyle w:val="af"/>
            <w:rFonts w:ascii="彩虹粗仿宋" w:eastAsia="彩虹粗仿宋" w:hint="eastAsia"/>
            <w:noProof/>
            <w:sz w:val="28"/>
            <w:szCs w:val="32"/>
          </w:rPr>
          <w:t>六、指令的发送、确认及执行</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_Toc124325890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11</w:t>
        </w:r>
        <w:r w:rsidR="000529FB">
          <w:rPr>
            <w:rFonts w:ascii="彩虹粗仿宋" w:eastAsia="彩虹粗仿宋" w:hAnsi="宋体" w:hint="eastAsia"/>
            <w:noProof/>
            <w:sz w:val="28"/>
          </w:rPr>
          <w:fldChar w:fldCharType="end"/>
        </w:r>
      </w:hyperlink>
    </w:p>
    <w:p w14:paraId="53CFB877" w14:textId="29225179" w:rsidR="0053190E" w:rsidRDefault="004155BC">
      <w:pPr>
        <w:pStyle w:val="21"/>
        <w:tabs>
          <w:tab w:val="right" w:leader="dot" w:pos="8494"/>
        </w:tabs>
        <w:rPr>
          <w:rFonts w:ascii="彩虹粗仿宋" w:eastAsia="彩虹粗仿宋" w:hAnsi="宋体"/>
          <w:noProof/>
          <w:sz w:val="28"/>
        </w:rPr>
      </w:pPr>
      <w:hyperlink w:anchor="_Toc124325891" w:history="1">
        <w:r w:rsidR="000529FB">
          <w:rPr>
            <w:rStyle w:val="af"/>
            <w:rFonts w:ascii="彩虹粗仿宋" w:eastAsia="彩虹粗仿宋" w:hint="eastAsia"/>
            <w:noProof/>
            <w:sz w:val="28"/>
            <w:szCs w:val="32"/>
          </w:rPr>
          <w:t>七、交易及清算交收安排</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_Toc124325891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13</w:t>
        </w:r>
        <w:r w:rsidR="000529FB">
          <w:rPr>
            <w:rFonts w:ascii="彩虹粗仿宋" w:eastAsia="彩虹粗仿宋" w:hAnsi="宋体" w:hint="eastAsia"/>
            <w:noProof/>
            <w:sz w:val="28"/>
          </w:rPr>
          <w:fldChar w:fldCharType="end"/>
        </w:r>
      </w:hyperlink>
    </w:p>
    <w:p w14:paraId="62E48711" w14:textId="249C5FBB" w:rsidR="0053190E" w:rsidRDefault="004155BC">
      <w:pPr>
        <w:pStyle w:val="21"/>
        <w:tabs>
          <w:tab w:val="right" w:leader="dot" w:pos="8494"/>
        </w:tabs>
        <w:rPr>
          <w:rFonts w:ascii="彩虹粗仿宋" w:eastAsia="彩虹粗仿宋" w:hAnsi="宋体"/>
          <w:noProof/>
          <w:sz w:val="28"/>
        </w:rPr>
      </w:pPr>
      <w:hyperlink w:anchor="_Toc124325892" w:history="1">
        <w:r w:rsidR="000529FB">
          <w:rPr>
            <w:rStyle w:val="af"/>
            <w:rFonts w:ascii="彩虹粗仿宋" w:eastAsia="彩虹粗仿宋" w:hint="eastAsia"/>
            <w:noProof/>
            <w:sz w:val="28"/>
            <w:szCs w:val="32"/>
          </w:rPr>
          <w:t>八、基金资产净值计算和会计核算</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_Toc124325892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18</w:t>
        </w:r>
        <w:r w:rsidR="000529FB">
          <w:rPr>
            <w:rFonts w:ascii="彩虹粗仿宋" w:eastAsia="彩虹粗仿宋" w:hAnsi="宋体" w:hint="eastAsia"/>
            <w:noProof/>
            <w:sz w:val="28"/>
          </w:rPr>
          <w:fldChar w:fldCharType="end"/>
        </w:r>
      </w:hyperlink>
    </w:p>
    <w:p w14:paraId="741E8F35" w14:textId="1E115B6F" w:rsidR="0053190E" w:rsidRDefault="004155BC">
      <w:pPr>
        <w:pStyle w:val="21"/>
        <w:tabs>
          <w:tab w:val="right" w:leader="dot" w:pos="8494"/>
        </w:tabs>
        <w:rPr>
          <w:rFonts w:ascii="彩虹粗仿宋" w:eastAsia="彩虹粗仿宋" w:hAnsi="宋体"/>
          <w:noProof/>
          <w:sz w:val="28"/>
        </w:rPr>
      </w:pPr>
      <w:hyperlink w:anchor="_Toc124325893" w:history="1">
        <w:r w:rsidR="000529FB">
          <w:rPr>
            <w:rStyle w:val="af"/>
            <w:rFonts w:ascii="彩虹粗仿宋" w:eastAsia="彩虹粗仿宋" w:hint="eastAsia"/>
            <w:noProof/>
            <w:sz w:val="28"/>
            <w:szCs w:val="32"/>
          </w:rPr>
          <w:t>九、基金收益分配</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_Toc124325893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22</w:t>
        </w:r>
        <w:r w:rsidR="000529FB">
          <w:rPr>
            <w:rFonts w:ascii="彩虹粗仿宋" w:eastAsia="彩虹粗仿宋" w:hAnsi="宋体" w:hint="eastAsia"/>
            <w:noProof/>
            <w:sz w:val="28"/>
          </w:rPr>
          <w:fldChar w:fldCharType="end"/>
        </w:r>
      </w:hyperlink>
    </w:p>
    <w:p w14:paraId="5368E401" w14:textId="1AED6447" w:rsidR="0053190E" w:rsidRDefault="004155BC">
      <w:pPr>
        <w:pStyle w:val="21"/>
        <w:tabs>
          <w:tab w:val="right" w:leader="dot" w:pos="8494"/>
        </w:tabs>
        <w:rPr>
          <w:rFonts w:ascii="彩虹粗仿宋" w:eastAsia="彩虹粗仿宋" w:hAnsi="宋体"/>
          <w:noProof/>
          <w:sz w:val="28"/>
        </w:rPr>
      </w:pPr>
      <w:hyperlink w:anchor="_Toc124325894" w:history="1">
        <w:r w:rsidR="000529FB">
          <w:rPr>
            <w:rStyle w:val="af"/>
            <w:rFonts w:ascii="彩虹粗仿宋" w:eastAsia="彩虹粗仿宋" w:hint="eastAsia"/>
            <w:noProof/>
            <w:sz w:val="28"/>
            <w:szCs w:val="32"/>
          </w:rPr>
          <w:t>十、基金信息披露</w:t>
        </w:r>
        <w:bookmarkStart w:id="0" w:name="_GoBack"/>
        <w:bookmarkEnd w:id="0"/>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_Toc124325894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23</w:t>
        </w:r>
        <w:r w:rsidR="000529FB">
          <w:rPr>
            <w:rFonts w:ascii="彩虹粗仿宋" w:eastAsia="彩虹粗仿宋" w:hAnsi="宋体" w:hint="eastAsia"/>
            <w:noProof/>
            <w:sz w:val="28"/>
          </w:rPr>
          <w:fldChar w:fldCharType="end"/>
        </w:r>
      </w:hyperlink>
    </w:p>
    <w:p w14:paraId="79FFEF06" w14:textId="202CBF0D" w:rsidR="0053190E" w:rsidRDefault="004155BC">
      <w:pPr>
        <w:pStyle w:val="21"/>
        <w:tabs>
          <w:tab w:val="right" w:leader="dot" w:pos="8494"/>
        </w:tabs>
        <w:rPr>
          <w:rFonts w:ascii="彩虹粗仿宋" w:eastAsia="彩虹粗仿宋" w:hAnsi="宋体"/>
          <w:noProof/>
          <w:sz w:val="28"/>
        </w:rPr>
      </w:pPr>
      <w:hyperlink w:anchor="_Toc124325895" w:history="1">
        <w:r w:rsidR="000529FB">
          <w:rPr>
            <w:rStyle w:val="af"/>
            <w:rFonts w:ascii="彩虹粗仿宋" w:eastAsia="彩虹粗仿宋" w:hint="eastAsia"/>
            <w:noProof/>
            <w:sz w:val="28"/>
            <w:szCs w:val="32"/>
          </w:rPr>
          <w:t>十一、基金费用</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_Toc124325895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25</w:t>
        </w:r>
        <w:r w:rsidR="000529FB">
          <w:rPr>
            <w:rFonts w:ascii="彩虹粗仿宋" w:eastAsia="彩虹粗仿宋" w:hAnsi="宋体" w:hint="eastAsia"/>
            <w:noProof/>
            <w:sz w:val="28"/>
          </w:rPr>
          <w:fldChar w:fldCharType="end"/>
        </w:r>
      </w:hyperlink>
    </w:p>
    <w:p w14:paraId="6A81B243" w14:textId="6FAA2598" w:rsidR="0053190E" w:rsidRDefault="004155BC">
      <w:pPr>
        <w:pStyle w:val="21"/>
        <w:tabs>
          <w:tab w:val="right" w:leader="dot" w:pos="8494"/>
        </w:tabs>
        <w:rPr>
          <w:rFonts w:ascii="彩虹粗仿宋" w:eastAsia="彩虹粗仿宋" w:hAnsi="宋体"/>
          <w:noProof/>
          <w:sz w:val="28"/>
        </w:rPr>
      </w:pPr>
      <w:hyperlink w:anchor="_Toc124325896" w:history="1">
        <w:r w:rsidR="000529FB">
          <w:rPr>
            <w:rStyle w:val="af"/>
            <w:rFonts w:ascii="彩虹粗仿宋" w:eastAsia="彩虹粗仿宋" w:hint="eastAsia"/>
            <w:noProof/>
            <w:sz w:val="28"/>
            <w:szCs w:val="32"/>
          </w:rPr>
          <w:t>十二、基金份额持有人名册的保管</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_Toc124325896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26</w:t>
        </w:r>
        <w:r w:rsidR="000529FB">
          <w:rPr>
            <w:rFonts w:ascii="彩虹粗仿宋" w:eastAsia="彩虹粗仿宋" w:hAnsi="宋体" w:hint="eastAsia"/>
            <w:noProof/>
            <w:sz w:val="28"/>
          </w:rPr>
          <w:fldChar w:fldCharType="end"/>
        </w:r>
      </w:hyperlink>
    </w:p>
    <w:p w14:paraId="0CA0A290" w14:textId="6D712A2F" w:rsidR="0053190E" w:rsidRDefault="004155BC">
      <w:pPr>
        <w:pStyle w:val="21"/>
        <w:tabs>
          <w:tab w:val="right" w:leader="dot" w:pos="8494"/>
        </w:tabs>
        <w:rPr>
          <w:rFonts w:ascii="彩虹粗仿宋" w:eastAsia="彩虹粗仿宋" w:hAnsi="宋体"/>
          <w:noProof/>
          <w:sz w:val="28"/>
        </w:rPr>
      </w:pPr>
      <w:hyperlink w:anchor="_Toc124325897" w:history="1">
        <w:r w:rsidR="000529FB">
          <w:rPr>
            <w:rStyle w:val="af"/>
            <w:rFonts w:ascii="彩虹粗仿宋" w:eastAsia="彩虹粗仿宋" w:hint="eastAsia"/>
            <w:noProof/>
            <w:sz w:val="28"/>
            <w:szCs w:val="32"/>
          </w:rPr>
          <w:t>十三、基金有关文件档案的保存</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_Toc124325897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27</w:t>
        </w:r>
        <w:r w:rsidR="000529FB">
          <w:rPr>
            <w:rFonts w:ascii="彩虹粗仿宋" w:eastAsia="彩虹粗仿宋" w:hAnsi="宋体" w:hint="eastAsia"/>
            <w:noProof/>
            <w:sz w:val="28"/>
          </w:rPr>
          <w:fldChar w:fldCharType="end"/>
        </w:r>
      </w:hyperlink>
    </w:p>
    <w:p w14:paraId="09892936" w14:textId="296C318E" w:rsidR="0053190E" w:rsidRDefault="004155BC">
      <w:pPr>
        <w:pStyle w:val="21"/>
        <w:tabs>
          <w:tab w:val="right" w:leader="dot" w:pos="8494"/>
        </w:tabs>
        <w:rPr>
          <w:rFonts w:ascii="彩虹粗仿宋" w:eastAsia="彩虹粗仿宋" w:hAnsi="宋体"/>
          <w:noProof/>
          <w:sz w:val="28"/>
        </w:rPr>
      </w:pPr>
      <w:hyperlink w:anchor="_Toc124325898" w:history="1">
        <w:r w:rsidR="000529FB">
          <w:rPr>
            <w:rStyle w:val="af"/>
            <w:rFonts w:ascii="彩虹粗仿宋" w:eastAsia="彩虹粗仿宋" w:hint="eastAsia"/>
            <w:noProof/>
            <w:sz w:val="28"/>
            <w:szCs w:val="32"/>
          </w:rPr>
          <w:t>十四、基金管理人和基金托管人的更换</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_Toc124325898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27</w:t>
        </w:r>
        <w:r w:rsidR="000529FB">
          <w:rPr>
            <w:rFonts w:ascii="彩虹粗仿宋" w:eastAsia="彩虹粗仿宋" w:hAnsi="宋体" w:hint="eastAsia"/>
            <w:noProof/>
            <w:sz w:val="28"/>
          </w:rPr>
          <w:fldChar w:fldCharType="end"/>
        </w:r>
      </w:hyperlink>
    </w:p>
    <w:p w14:paraId="6DFEA740" w14:textId="36B5DE64" w:rsidR="0053190E" w:rsidRDefault="004155BC">
      <w:pPr>
        <w:pStyle w:val="21"/>
        <w:tabs>
          <w:tab w:val="right" w:leader="dot" w:pos="8494"/>
        </w:tabs>
        <w:rPr>
          <w:rFonts w:ascii="彩虹粗仿宋" w:eastAsia="彩虹粗仿宋" w:hAnsi="宋体"/>
          <w:noProof/>
          <w:sz w:val="28"/>
        </w:rPr>
      </w:pPr>
      <w:hyperlink w:anchor="_Toc124325899" w:history="1">
        <w:r w:rsidR="000529FB">
          <w:rPr>
            <w:rStyle w:val="af"/>
            <w:rFonts w:ascii="彩虹粗仿宋" w:eastAsia="彩虹粗仿宋" w:hint="eastAsia"/>
            <w:noProof/>
            <w:sz w:val="28"/>
            <w:szCs w:val="32"/>
          </w:rPr>
          <w:t>十五、禁止行为</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_Toc124325899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29</w:t>
        </w:r>
        <w:r w:rsidR="000529FB">
          <w:rPr>
            <w:rFonts w:ascii="彩虹粗仿宋" w:eastAsia="彩虹粗仿宋" w:hAnsi="宋体" w:hint="eastAsia"/>
            <w:noProof/>
            <w:sz w:val="28"/>
          </w:rPr>
          <w:fldChar w:fldCharType="end"/>
        </w:r>
      </w:hyperlink>
    </w:p>
    <w:p w14:paraId="5D6329A6" w14:textId="7A2178F1" w:rsidR="0053190E" w:rsidRDefault="004155BC">
      <w:pPr>
        <w:pStyle w:val="21"/>
        <w:tabs>
          <w:tab w:val="right" w:leader="dot" w:pos="8494"/>
        </w:tabs>
        <w:rPr>
          <w:rFonts w:ascii="彩虹粗仿宋" w:eastAsia="彩虹粗仿宋" w:hAnsi="宋体"/>
          <w:noProof/>
          <w:sz w:val="28"/>
        </w:rPr>
      </w:pPr>
      <w:hyperlink w:anchor="_Toc124325900" w:history="1">
        <w:r w:rsidR="000529FB">
          <w:rPr>
            <w:rStyle w:val="af"/>
            <w:rFonts w:ascii="彩虹粗仿宋" w:eastAsia="彩虹粗仿宋" w:hint="eastAsia"/>
            <w:noProof/>
            <w:sz w:val="28"/>
            <w:szCs w:val="32"/>
          </w:rPr>
          <w:t>十六、托管协议的变更、终止与基金财产的清算</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_Toc124325900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30</w:t>
        </w:r>
        <w:r w:rsidR="000529FB">
          <w:rPr>
            <w:rFonts w:ascii="彩虹粗仿宋" w:eastAsia="彩虹粗仿宋" w:hAnsi="宋体" w:hint="eastAsia"/>
            <w:noProof/>
            <w:sz w:val="28"/>
          </w:rPr>
          <w:fldChar w:fldCharType="end"/>
        </w:r>
      </w:hyperlink>
    </w:p>
    <w:p w14:paraId="4041B89F" w14:textId="7129B4DA" w:rsidR="0053190E" w:rsidRDefault="004155BC">
      <w:pPr>
        <w:pStyle w:val="21"/>
        <w:tabs>
          <w:tab w:val="right" w:leader="dot" w:pos="8494"/>
        </w:tabs>
        <w:rPr>
          <w:rFonts w:ascii="彩虹粗仿宋" w:eastAsia="彩虹粗仿宋" w:hAnsi="宋体"/>
          <w:noProof/>
          <w:sz w:val="28"/>
        </w:rPr>
      </w:pPr>
      <w:hyperlink w:anchor="_Toc124325901" w:history="1">
        <w:r w:rsidR="000529FB">
          <w:rPr>
            <w:rStyle w:val="af"/>
            <w:rFonts w:ascii="彩虹粗仿宋" w:eastAsia="彩虹粗仿宋" w:hint="eastAsia"/>
            <w:noProof/>
            <w:sz w:val="28"/>
            <w:szCs w:val="32"/>
          </w:rPr>
          <w:t>十七、违约责任</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_Toc124325901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32</w:t>
        </w:r>
        <w:r w:rsidR="000529FB">
          <w:rPr>
            <w:rFonts w:ascii="彩虹粗仿宋" w:eastAsia="彩虹粗仿宋" w:hAnsi="宋体" w:hint="eastAsia"/>
            <w:noProof/>
            <w:sz w:val="28"/>
          </w:rPr>
          <w:fldChar w:fldCharType="end"/>
        </w:r>
      </w:hyperlink>
    </w:p>
    <w:p w14:paraId="34547425" w14:textId="680C0069" w:rsidR="0053190E" w:rsidRDefault="004155BC">
      <w:pPr>
        <w:pStyle w:val="21"/>
        <w:tabs>
          <w:tab w:val="right" w:leader="dot" w:pos="8494"/>
        </w:tabs>
        <w:rPr>
          <w:rFonts w:ascii="彩虹粗仿宋" w:eastAsia="彩虹粗仿宋" w:hAnsi="宋体"/>
          <w:noProof/>
          <w:sz w:val="28"/>
        </w:rPr>
      </w:pPr>
      <w:hyperlink w:anchor="_Toc124325902" w:history="1">
        <w:r w:rsidR="000529FB">
          <w:rPr>
            <w:rStyle w:val="af"/>
            <w:rFonts w:ascii="彩虹粗仿宋" w:eastAsia="彩虹粗仿宋" w:hint="eastAsia"/>
            <w:noProof/>
            <w:sz w:val="28"/>
            <w:szCs w:val="32"/>
          </w:rPr>
          <w:t>十八、争议解决方式</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_Toc124325902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33</w:t>
        </w:r>
        <w:r w:rsidR="000529FB">
          <w:rPr>
            <w:rFonts w:ascii="彩虹粗仿宋" w:eastAsia="彩虹粗仿宋" w:hAnsi="宋体" w:hint="eastAsia"/>
            <w:noProof/>
            <w:sz w:val="28"/>
          </w:rPr>
          <w:fldChar w:fldCharType="end"/>
        </w:r>
      </w:hyperlink>
    </w:p>
    <w:p w14:paraId="26F874C0" w14:textId="2F78A7AB" w:rsidR="0053190E" w:rsidRDefault="004155BC">
      <w:pPr>
        <w:pStyle w:val="21"/>
        <w:tabs>
          <w:tab w:val="right" w:leader="dot" w:pos="8494"/>
        </w:tabs>
        <w:rPr>
          <w:rFonts w:ascii="彩虹粗仿宋" w:eastAsia="彩虹粗仿宋" w:hAnsi="宋体"/>
          <w:noProof/>
          <w:sz w:val="28"/>
        </w:rPr>
      </w:pPr>
      <w:hyperlink w:anchor="_Toc124325903" w:history="1">
        <w:r w:rsidR="000529FB">
          <w:rPr>
            <w:rStyle w:val="af"/>
            <w:rFonts w:ascii="彩虹粗仿宋" w:eastAsia="彩虹粗仿宋" w:hint="eastAsia"/>
            <w:noProof/>
            <w:sz w:val="28"/>
            <w:szCs w:val="32"/>
          </w:rPr>
          <w:t>十九、托管协议的效力</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_Toc124325903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33</w:t>
        </w:r>
        <w:r w:rsidR="000529FB">
          <w:rPr>
            <w:rFonts w:ascii="彩虹粗仿宋" w:eastAsia="彩虹粗仿宋" w:hAnsi="宋体" w:hint="eastAsia"/>
            <w:noProof/>
            <w:sz w:val="28"/>
          </w:rPr>
          <w:fldChar w:fldCharType="end"/>
        </w:r>
      </w:hyperlink>
    </w:p>
    <w:p w14:paraId="24A3C444" w14:textId="42C517B3" w:rsidR="0053190E" w:rsidRDefault="004155BC">
      <w:pPr>
        <w:pStyle w:val="21"/>
        <w:tabs>
          <w:tab w:val="right" w:leader="dot" w:pos="8494"/>
        </w:tabs>
        <w:rPr>
          <w:rFonts w:ascii="彩虹粗仿宋" w:eastAsia="彩虹粗仿宋" w:hAnsi="宋体"/>
          <w:noProof/>
          <w:sz w:val="28"/>
        </w:rPr>
      </w:pPr>
      <w:hyperlink w:anchor="_Toc124325904" w:history="1">
        <w:r w:rsidR="000529FB">
          <w:rPr>
            <w:rStyle w:val="af"/>
            <w:rFonts w:ascii="彩虹粗仿宋" w:eastAsia="彩虹粗仿宋" w:hint="eastAsia"/>
            <w:noProof/>
            <w:sz w:val="28"/>
            <w:szCs w:val="32"/>
          </w:rPr>
          <w:t>二十、其他事项</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_Toc124325904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33</w:t>
        </w:r>
        <w:r w:rsidR="000529FB">
          <w:rPr>
            <w:rFonts w:ascii="彩虹粗仿宋" w:eastAsia="彩虹粗仿宋" w:hAnsi="宋体" w:hint="eastAsia"/>
            <w:noProof/>
            <w:sz w:val="28"/>
          </w:rPr>
          <w:fldChar w:fldCharType="end"/>
        </w:r>
      </w:hyperlink>
    </w:p>
    <w:p w14:paraId="39AD285D" w14:textId="1E2AF9EF" w:rsidR="0053190E" w:rsidRDefault="004155BC">
      <w:pPr>
        <w:pStyle w:val="21"/>
        <w:tabs>
          <w:tab w:val="right" w:leader="dot" w:pos="8494"/>
        </w:tabs>
        <w:rPr>
          <w:rFonts w:ascii="彩虹粗仿宋" w:eastAsia="彩虹粗仿宋" w:hAnsi="宋体"/>
          <w:noProof/>
          <w:sz w:val="28"/>
        </w:rPr>
      </w:pPr>
      <w:hyperlink w:anchor="_Toc124325905" w:history="1">
        <w:r w:rsidR="000529FB">
          <w:rPr>
            <w:rStyle w:val="af"/>
            <w:rFonts w:ascii="彩虹粗仿宋" w:eastAsia="彩虹粗仿宋" w:hint="eastAsia"/>
            <w:noProof/>
            <w:sz w:val="28"/>
            <w:szCs w:val="32"/>
          </w:rPr>
          <w:t>二十一、托管协议的签订</w:t>
        </w:r>
        <w:r w:rsidR="000529FB">
          <w:rPr>
            <w:rFonts w:ascii="彩虹粗仿宋" w:eastAsia="彩虹粗仿宋" w:hAnsi="宋体" w:hint="eastAsia"/>
            <w:noProof/>
            <w:sz w:val="28"/>
          </w:rPr>
          <w:tab/>
        </w:r>
        <w:r w:rsidR="000529FB">
          <w:rPr>
            <w:rFonts w:ascii="彩虹粗仿宋" w:eastAsia="彩虹粗仿宋" w:hAnsi="宋体" w:hint="eastAsia"/>
            <w:noProof/>
            <w:sz w:val="28"/>
          </w:rPr>
          <w:fldChar w:fldCharType="begin"/>
        </w:r>
        <w:r w:rsidR="000529FB">
          <w:rPr>
            <w:rFonts w:ascii="彩虹粗仿宋" w:eastAsia="彩虹粗仿宋" w:hAnsi="宋体" w:hint="eastAsia"/>
            <w:noProof/>
            <w:sz w:val="28"/>
          </w:rPr>
          <w:instrText xml:space="preserve"> PAGEREF _Toc124325905 \h </w:instrText>
        </w:r>
        <w:r w:rsidR="000529FB">
          <w:rPr>
            <w:rFonts w:ascii="彩虹粗仿宋" w:eastAsia="彩虹粗仿宋" w:hAnsi="宋体" w:hint="eastAsia"/>
            <w:noProof/>
            <w:sz w:val="28"/>
          </w:rPr>
        </w:r>
        <w:r w:rsidR="000529FB">
          <w:rPr>
            <w:rFonts w:ascii="彩虹粗仿宋" w:eastAsia="彩虹粗仿宋" w:hAnsi="宋体" w:hint="eastAsia"/>
            <w:noProof/>
            <w:sz w:val="28"/>
          </w:rPr>
          <w:fldChar w:fldCharType="separate"/>
        </w:r>
        <w:r w:rsidR="00EC521D">
          <w:rPr>
            <w:rFonts w:ascii="彩虹粗仿宋" w:eastAsia="彩虹粗仿宋" w:hAnsi="宋体"/>
            <w:noProof/>
            <w:sz w:val="28"/>
          </w:rPr>
          <w:t>34</w:t>
        </w:r>
        <w:r w:rsidR="000529FB">
          <w:rPr>
            <w:rFonts w:ascii="彩虹粗仿宋" w:eastAsia="彩虹粗仿宋" w:hAnsi="宋体" w:hint="eastAsia"/>
            <w:noProof/>
            <w:sz w:val="28"/>
          </w:rPr>
          <w:fldChar w:fldCharType="end"/>
        </w:r>
      </w:hyperlink>
    </w:p>
    <w:p w14:paraId="42F25273" w14:textId="77777777" w:rsidR="0053190E" w:rsidRDefault="000529FB">
      <w:pPr>
        <w:rPr>
          <w:rFonts w:ascii="彩虹粗仿宋" w:eastAsia="彩虹粗仿宋"/>
          <w:sz w:val="24"/>
        </w:rPr>
      </w:pPr>
      <w:r>
        <w:rPr>
          <w:rFonts w:ascii="彩虹粗仿宋" w:eastAsia="彩虹粗仿宋" w:hAnsi="宋体" w:hint="eastAsia"/>
          <w:sz w:val="28"/>
        </w:rPr>
        <w:lastRenderedPageBreak/>
        <w:fldChar w:fldCharType="end"/>
      </w:r>
    </w:p>
    <w:p w14:paraId="6551D75F" w14:textId="71C2F95F" w:rsidR="0053190E" w:rsidRDefault="000529FB">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鉴于鹏华基金管理有限公司系一家依照中国法律合法成立并有效存续的有限责任公司，按照相关法律法规的规定具备担任基金管理人的资格和能力，拟募集发行</w:t>
      </w:r>
      <w:proofErr w:type="gramStart"/>
      <w:r>
        <w:rPr>
          <w:rFonts w:ascii="彩虹粗仿宋" w:eastAsia="彩虹粗仿宋" w:hAnsi="宋体" w:cs="Arial" w:hint="eastAsia"/>
          <w:kern w:val="0"/>
          <w:sz w:val="24"/>
          <w:lang w:val="en-GB"/>
        </w:rPr>
        <w:t>鹏华添和</w:t>
      </w:r>
      <w:proofErr w:type="gramEnd"/>
      <w:r>
        <w:rPr>
          <w:rFonts w:ascii="彩虹粗仿宋" w:eastAsia="彩虹粗仿宋" w:hAnsi="宋体" w:cs="Arial" w:hint="eastAsia"/>
          <w:kern w:val="0"/>
          <w:sz w:val="24"/>
          <w:lang w:val="en-GB"/>
        </w:rPr>
        <w:t>30天持有期债券型</w:t>
      </w:r>
      <w:r>
        <w:rPr>
          <w:rFonts w:ascii="彩虹粗仿宋" w:eastAsia="彩虹粗仿宋" w:hAnsi="宋体" w:cs="Arial" w:hint="eastAsia"/>
          <w:kern w:val="0"/>
          <w:sz w:val="24"/>
        </w:rPr>
        <w:t>证券投资基金（以下简称“本基金”或“基金”）；</w:t>
      </w:r>
    </w:p>
    <w:p w14:paraId="0FC0504D" w14:textId="77777777" w:rsidR="0053190E" w:rsidRDefault="000529FB">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FD545F4" w14:textId="09B18D4D" w:rsidR="0053190E" w:rsidRDefault="000529FB">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鉴于鹏华基金管理有限公司拟担任</w:t>
      </w:r>
      <w:proofErr w:type="gramStart"/>
      <w:r>
        <w:rPr>
          <w:rFonts w:ascii="彩虹粗仿宋" w:eastAsia="彩虹粗仿宋" w:hAnsi="宋体" w:cs="Arial" w:hint="eastAsia"/>
          <w:kern w:val="0"/>
          <w:sz w:val="24"/>
        </w:rPr>
        <w:t>鹏华添和</w:t>
      </w:r>
      <w:proofErr w:type="gramEnd"/>
      <w:r>
        <w:rPr>
          <w:rFonts w:ascii="彩虹粗仿宋" w:eastAsia="彩虹粗仿宋" w:hAnsi="宋体" w:cs="Arial" w:hint="eastAsia"/>
          <w:kern w:val="0"/>
          <w:sz w:val="24"/>
        </w:rPr>
        <w:t>30天持有期债券型证券投资基金的基金管理人，中国建设银行股份有限公司拟担任</w:t>
      </w:r>
      <w:proofErr w:type="gramStart"/>
      <w:r>
        <w:rPr>
          <w:rFonts w:ascii="彩虹粗仿宋" w:eastAsia="彩虹粗仿宋" w:hAnsi="宋体" w:cs="Arial" w:hint="eastAsia"/>
          <w:kern w:val="0"/>
          <w:sz w:val="24"/>
        </w:rPr>
        <w:t>鹏华添和</w:t>
      </w:r>
      <w:proofErr w:type="gramEnd"/>
      <w:r>
        <w:rPr>
          <w:rFonts w:ascii="彩虹粗仿宋" w:eastAsia="彩虹粗仿宋" w:hAnsi="宋体" w:cs="Arial" w:hint="eastAsia"/>
          <w:kern w:val="0"/>
          <w:sz w:val="24"/>
        </w:rPr>
        <w:t>30天持有期债券型证券投资基金的基金托管人；</w:t>
      </w:r>
    </w:p>
    <w:p w14:paraId="13E99363" w14:textId="7B86722D" w:rsidR="0053190E" w:rsidRDefault="000529FB">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proofErr w:type="gramStart"/>
      <w:r>
        <w:rPr>
          <w:rFonts w:ascii="彩虹粗仿宋" w:eastAsia="彩虹粗仿宋" w:hAnsi="宋体" w:cs="Arial" w:hint="eastAsia"/>
          <w:kern w:val="0"/>
          <w:sz w:val="24"/>
        </w:rPr>
        <w:t>鹏华添和</w:t>
      </w:r>
      <w:proofErr w:type="gramEnd"/>
      <w:r>
        <w:rPr>
          <w:rFonts w:ascii="彩虹粗仿宋" w:eastAsia="彩虹粗仿宋" w:hAnsi="宋体" w:cs="Arial" w:hint="eastAsia"/>
          <w:kern w:val="0"/>
          <w:sz w:val="24"/>
        </w:rPr>
        <w:t>30天持有期债券型证券投资基金的基金管理人和基金托管人之间的权利义务关系，特制订本托管协议；</w:t>
      </w:r>
    </w:p>
    <w:p w14:paraId="02C7E61B" w14:textId="6FD712D1" w:rsidR="0053190E" w:rsidRDefault="000529FB">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除非另有约定，《鹏华添和30天持有期债券型证券投资基金基金合同》(以下简称“基金合同”或“《基金合同》”)中定义的术语在用于本托管协议时应具有相同的含义；若有抵触应以《基金合同》为准，并依其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49D34292" w14:textId="77777777" w:rsidR="0053190E" w:rsidRDefault="000529FB">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若本基金实施</w:t>
      </w:r>
      <w:proofErr w:type="gramStart"/>
      <w:r>
        <w:rPr>
          <w:rFonts w:ascii="彩虹粗仿宋" w:eastAsia="彩虹粗仿宋" w:hAnsi="宋体" w:cs="Arial" w:hint="eastAsia"/>
          <w:kern w:val="0"/>
          <w:sz w:val="24"/>
          <w:lang w:val="en-GB"/>
        </w:rPr>
        <w:t>侧袋机制</w:t>
      </w:r>
      <w:proofErr w:type="gramEnd"/>
      <w:r>
        <w:rPr>
          <w:rFonts w:ascii="彩虹粗仿宋" w:eastAsia="彩虹粗仿宋" w:hAnsi="宋体" w:cs="Arial" w:hint="eastAsia"/>
          <w:kern w:val="0"/>
          <w:sz w:val="24"/>
          <w:lang w:val="en-GB"/>
        </w:rPr>
        <w:t>的，</w:t>
      </w:r>
      <w:proofErr w:type="gramStart"/>
      <w:r>
        <w:rPr>
          <w:rFonts w:ascii="彩虹粗仿宋" w:eastAsia="彩虹粗仿宋" w:hAnsi="宋体" w:cs="Arial" w:hint="eastAsia"/>
          <w:kern w:val="0"/>
          <w:sz w:val="24"/>
          <w:lang w:val="en-GB"/>
        </w:rPr>
        <w:t>侧袋机制</w:t>
      </w:r>
      <w:proofErr w:type="gramEnd"/>
      <w:r>
        <w:rPr>
          <w:rFonts w:ascii="彩虹粗仿宋" w:eastAsia="彩虹粗仿宋" w:hAnsi="宋体" w:cs="Arial" w:hint="eastAsia"/>
          <w:kern w:val="0"/>
          <w:sz w:val="24"/>
          <w:lang w:val="en-GB"/>
        </w:rPr>
        <w:t>实施期间的相关安排</w:t>
      </w:r>
      <w:proofErr w:type="gramStart"/>
      <w:r>
        <w:rPr>
          <w:rFonts w:ascii="彩虹粗仿宋" w:eastAsia="彩虹粗仿宋" w:hAnsi="宋体" w:cs="Arial" w:hint="eastAsia"/>
          <w:kern w:val="0"/>
          <w:sz w:val="24"/>
          <w:lang w:val="en-GB"/>
        </w:rPr>
        <w:t>见基金</w:t>
      </w:r>
      <w:proofErr w:type="gramEnd"/>
      <w:r>
        <w:rPr>
          <w:rFonts w:ascii="彩虹粗仿宋" w:eastAsia="彩虹粗仿宋" w:hAnsi="宋体" w:cs="Arial" w:hint="eastAsia"/>
          <w:kern w:val="0"/>
          <w:sz w:val="24"/>
          <w:lang w:val="en-GB"/>
        </w:rPr>
        <w:t>合同和招募说明书的规定。</w:t>
      </w:r>
    </w:p>
    <w:p w14:paraId="48ADADB0" w14:textId="77777777" w:rsidR="0053190E" w:rsidRDefault="0053190E">
      <w:pPr>
        <w:rPr>
          <w:rFonts w:ascii="彩虹粗仿宋" w:eastAsia="彩虹粗仿宋"/>
          <w:sz w:val="24"/>
          <w:lang w:val="en-GB"/>
        </w:rPr>
      </w:pPr>
    </w:p>
    <w:p w14:paraId="49ED10D4" w14:textId="77777777" w:rsidR="0053190E" w:rsidRDefault="000529FB">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26AB7154"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（一）基金管理人（以下或简称“管理人”）</w:t>
      </w:r>
    </w:p>
    <w:p w14:paraId="1A2774F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名称：鹏华基金管理有限公司</w:t>
      </w:r>
    </w:p>
    <w:p w14:paraId="76BEEC3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注册地址：深圳市福田区福华三路168号深圳国际商会中心43层</w:t>
      </w:r>
    </w:p>
    <w:p w14:paraId="1578D49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办公地址：深圳市福田区福华三路168号深圳国际商会中心43层</w:t>
      </w:r>
    </w:p>
    <w:p w14:paraId="577FAFBE"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邮政编码：518048</w:t>
      </w:r>
    </w:p>
    <w:p w14:paraId="5885E988" w14:textId="28F9E07A"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法定代表人：张纳沙</w:t>
      </w:r>
    </w:p>
    <w:p w14:paraId="245CFA9F"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成立日期：1998年12月22日</w:t>
      </w:r>
    </w:p>
    <w:p w14:paraId="1E07750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批准设立机关及批准设立文号：中国证券监督管理委员会[1998]31号文</w:t>
      </w:r>
    </w:p>
    <w:p w14:paraId="1F21BADB"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6C0A1C3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注册资本：1.5亿元人民币</w:t>
      </w:r>
    </w:p>
    <w:p w14:paraId="5AE8DD0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3273D279"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经营范围：基金募集；基金销售；资产管理以及中国证监会许可的其它业务。</w:t>
      </w:r>
    </w:p>
    <w:p w14:paraId="205E34A4"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（二）基金托管人（以下或简称“托管人”）</w:t>
      </w:r>
    </w:p>
    <w:p w14:paraId="5916326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名称：中国建设银行股份有限公司（简称：中国建设银行）</w:t>
      </w:r>
    </w:p>
    <w:p w14:paraId="43983D1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426C3A2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4CFFB6BF"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0912894B" w14:textId="1525683D"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法定代表人：张金良</w:t>
      </w:r>
    </w:p>
    <w:p w14:paraId="2729B5C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010B3A0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26BDA06B"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53BFF11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14:paraId="05915BB0"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347713A7" w14:textId="77777777" w:rsidR="0053190E" w:rsidRDefault="000529FB">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739C7A8" w14:textId="77777777" w:rsidR="0053190E" w:rsidRDefault="0053190E">
      <w:pPr>
        <w:rPr>
          <w:rFonts w:ascii="彩虹粗仿宋" w:eastAsia="彩虹粗仿宋"/>
          <w:sz w:val="24"/>
        </w:rPr>
      </w:pPr>
    </w:p>
    <w:p w14:paraId="5EAD57A3" w14:textId="77777777" w:rsidR="0053190E" w:rsidRDefault="000529FB">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3B07FFBA" w14:textId="77777777" w:rsidR="0053190E" w:rsidRDefault="000529FB">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3CEA518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w:t>
      </w:r>
      <w:r>
        <w:rPr>
          <w:rFonts w:hint="eastAsia"/>
        </w:rPr>
        <w:t xml:space="preserve"> </w:t>
      </w:r>
      <w:r>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等有关法律法规、《基金合同》及其他有关规定制订。</w:t>
      </w:r>
    </w:p>
    <w:p w14:paraId="04472C93"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3985A62B" w14:textId="77777777" w:rsidR="0053190E" w:rsidRDefault="000529FB">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744A440"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7F5E02E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54A2B8C7" w14:textId="77777777" w:rsidR="0053190E" w:rsidRDefault="0053190E">
      <w:pPr>
        <w:rPr>
          <w:rFonts w:ascii="彩虹粗仿宋" w:eastAsia="彩虹粗仿宋"/>
          <w:sz w:val="24"/>
        </w:rPr>
      </w:pPr>
    </w:p>
    <w:p w14:paraId="0197882F" w14:textId="77777777" w:rsidR="0053190E" w:rsidRDefault="000529FB">
      <w:pPr>
        <w:pStyle w:val="2"/>
        <w:jc w:val="center"/>
        <w:rPr>
          <w:rFonts w:ascii="彩虹粗仿宋" w:eastAsia="彩虹粗仿宋"/>
          <w:sz w:val="30"/>
          <w:szCs w:val="24"/>
        </w:rPr>
      </w:pPr>
      <w:bookmarkStart w:id="4" w:name="_Toc124325887"/>
      <w:r>
        <w:rPr>
          <w:rFonts w:ascii="彩虹粗仿宋" w:eastAsia="彩虹粗仿宋" w:hint="eastAsia"/>
          <w:sz w:val="30"/>
        </w:rPr>
        <w:lastRenderedPageBreak/>
        <w:t>三、基金托管人对基金管理人的业务监督和核查</w:t>
      </w:r>
      <w:bookmarkEnd w:id="4"/>
    </w:p>
    <w:p w14:paraId="2D50170B"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7490BBA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本基金的投资范围主要为具有良好流动性的金融工具，包括债券（含国债、金融债、企业债、公司债、央行票据、地方政府债、中期票据、短期融资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、超短期融资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、可分离交易可转债</w:t>
      </w:r>
      <w:proofErr w:type="gramStart"/>
      <w:r>
        <w:rPr>
          <w:rFonts w:ascii="彩虹粗仿宋" w:eastAsia="彩虹粗仿宋" w:hAnsi="宋体" w:cs="Arial" w:hint="eastAsia"/>
          <w:sz w:val="24"/>
        </w:rPr>
        <w:t>的纯债部分</w:t>
      </w:r>
      <w:proofErr w:type="gramEnd"/>
      <w:r>
        <w:rPr>
          <w:rFonts w:ascii="彩虹粗仿宋" w:eastAsia="彩虹粗仿宋" w:hAnsi="宋体" w:cs="Arial" w:hint="eastAsia"/>
          <w:sz w:val="24"/>
        </w:rPr>
        <w:t>、次级债、政府支持机构债）、资产支持证券、同业存单、债券回购、银行存款、国债期货等法律法规或中国证监会允许基金投资的其他金融工具（但须符合中国证监会的相关规定）。</w:t>
      </w:r>
    </w:p>
    <w:p w14:paraId="6F7C56B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本基金不投资于股票，也不投资于可转换债券（可分离交易可转债的</w:t>
      </w:r>
      <w:proofErr w:type="gramStart"/>
      <w:r>
        <w:rPr>
          <w:rFonts w:ascii="彩虹粗仿宋" w:eastAsia="彩虹粗仿宋" w:hAnsi="宋体" w:cs="Arial" w:hint="eastAsia"/>
          <w:sz w:val="24"/>
        </w:rPr>
        <w:t>纯债部分</w:t>
      </w:r>
      <w:proofErr w:type="gramEnd"/>
      <w:r>
        <w:rPr>
          <w:rFonts w:ascii="彩虹粗仿宋" w:eastAsia="彩虹粗仿宋" w:hAnsi="宋体" w:cs="Arial" w:hint="eastAsia"/>
          <w:sz w:val="24"/>
        </w:rPr>
        <w:t>除外）、可交换债券。</w:t>
      </w:r>
    </w:p>
    <w:p w14:paraId="1017869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71924BA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本基金投资于债券资产的比例不低于基金资产的80%；每个交易日日终在扣除国债期货合约需缴纳的交易保证金后，本基金保留的现金或到期日在一年以内的政府债券的投资比例不低于基金资产净值的5%，其中现金不包括结算备付金、存出保证金和应收申购款等。</w:t>
      </w:r>
    </w:p>
    <w:p w14:paraId="146D43DA" w14:textId="77777777" w:rsidR="0053190E" w:rsidRDefault="000529FB">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如法律法规或中国证监会变更投资品种的投资比例限制，基金管理人在履行适当程序后，可以调整上述投资品种的投资比例。</w:t>
      </w:r>
    </w:p>
    <w:p w14:paraId="3ED0B12D"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6729E0EA"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（1）本基金投资于债券资产的比例不低于基金资产的80%；</w:t>
      </w:r>
    </w:p>
    <w:p w14:paraId="4CA65B7B"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（2）每个交易日日终在扣除国债期货合约需缴纳的交易保证金后，保持不低于基金资产净值5%的现金或者到期日在一年以内的政府债券，其中现金不包括结算备付金、存出保证金和应收申购款等；</w:t>
      </w:r>
    </w:p>
    <w:p w14:paraId="25105BCC"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（3）本基金持有一家公司发行的证券，其市值不超过基金资产净值的10%；</w:t>
      </w:r>
    </w:p>
    <w:p w14:paraId="7F9E59FA"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（4）本基金管理人管理且由本基金托管人托管的全部基金持有一家公司发行的证券，不超过该证券的10%，完全按照有关指数的构成比例进行证券投资的基</w:t>
      </w:r>
      <w:r>
        <w:rPr>
          <w:rFonts w:ascii="彩虹粗仿宋" w:eastAsia="彩虹粗仿宋" w:hint="eastAsia"/>
          <w:sz w:val="24"/>
        </w:rPr>
        <w:lastRenderedPageBreak/>
        <w:t>金品种可以不受此条款规定的比例限制；</w:t>
      </w:r>
    </w:p>
    <w:p w14:paraId="78EEC6D9"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（5）本基金投资于同一原始权益人的各类资产支持证券的比例，不得超过基金资产净值的10%；</w:t>
      </w:r>
    </w:p>
    <w:p w14:paraId="7B4F7CEC"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（6）本基金持有的全部资产支持证券，其市值不得超过基金资产净值的20%，中国证监会规定的特殊品种除外；</w:t>
      </w:r>
    </w:p>
    <w:p w14:paraId="337860F2"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（7）本基金持有的同一（指同一信用级别）资产支持证券的比例，不得超过该资产支持证券规模的10%；</w:t>
      </w:r>
    </w:p>
    <w:p w14:paraId="2C2BFD74"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（8）本基金管理人管理且由本基金托管人托管的全部基金投资于同一原始权益人的各类资产支持证券，不得超过其各类资产支持证券合计规模的10%；</w:t>
      </w:r>
    </w:p>
    <w:p w14:paraId="2EA7274E"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9）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D9B9ED8"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（10）本基金资产总值不超过基金资产净值的140%；</w:t>
      </w:r>
    </w:p>
    <w:p w14:paraId="3629B78F"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（11）若本基金参与国债期货交易，应当遵守下列要求：</w:t>
      </w:r>
    </w:p>
    <w:p w14:paraId="7973C2C9"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a.本基金在任何交易日日终，持有的买入国债期货合约价值，不得超过基金资产净值的15%；</w:t>
      </w:r>
    </w:p>
    <w:p w14:paraId="6904910D"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b.本基金在任何交易日日终，持有的卖出国债期货合约价值不得超过基金持有的债券总市值的30%；</w:t>
      </w:r>
    </w:p>
    <w:p w14:paraId="6F3D9F9F"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c.本基金所持有的债券（不含到期日在一年以内的政府债券）市值和买入、卖出国债期货合约价值，合计（轧差计算）应当符合基金合同关于债券投资比例的有关约定；</w:t>
      </w:r>
    </w:p>
    <w:p w14:paraId="2A21994A"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d.本基金在任何交易日内交易（不包括平仓）的国债期货合约的成交金额不得超过上一交易日基金资产净值的30%；</w:t>
      </w:r>
    </w:p>
    <w:p w14:paraId="5FF0A431" w14:textId="67981059"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sz w:val="24"/>
        </w:rPr>
        <w:t>1</w:t>
      </w:r>
      <w:r w:rsidR="00071BB3">
        <w:rPr>
          <w:rFonts w:ascii="彩虹粗仿宋" w:eastAsia="彩虹粗仿宋"/>
          <w:sz w:val="24"/>
        </w:rPr>
        <w:t>2</w:t>
      </w:r>
      <w:r>
        <w:rPr>
          <w:rFonts w:ascii="彩虹粗仿宋" w:eastAsia="彩虹粗仿宋" w:hint="eastAsia"/>
          <w:sz w:val="24"/>
        </w:rPr>
        <w:t>）法律法规及中国证监会规定的和《基金合同》约定的其他投资限制。</w:t>
      </w:r>
    </w:p>
    <w:p w14:paraId="2DD7E483" w14:textId="1B21E084"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除上述第（2）、（9）项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4E6640F8" w14:textId="7DAEF9FF"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3D73998" w14:textId="77777777" w:rsidR="0053190E" w:rsidRDefault="000529FB">
      <w:pPr>
        <w:adjustRightInd w:val="0"/>
        <w:snapToGrid w:val="0"/>
        <w:ind w:firstLineChars="200" w:firstLine="480"/>
        <w:rPr>
          <w:rFonts w:ascii="彩虹粗仿宋" w:eastAsia="彩虹粗仿宋"/>
          <w:sz w:val="24"/>
        </w:rPr>
      </w:pPr>
      <w:r>
        <w:rPr>
          <w:rFonts w:ascii="彩虹粗仿宋" w:eastAsia="彩虹粗仿宋" w:hint="eastAsia"/>
          <w:sz w:val="24"/>
        </w:rPr>
        <w:t>法律法规或监管部门取消或调整上述限制，如适用于本基金，基金管理人在履行适当程序后，则本基金投资不再受相关限制或按调整后的规定执行。</w:t>
      </w:r>
    </w:p>
    <w:p w14:paraId="32C94B58"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w:t>
      </w:r>
      <w:r>
        <w:rPr>
          <w:rFonts w:ascii="彩虹粗仿宋" w:eastAsia="彩虹粗仿宋" w:hAnsi="宋体" w:cs="Arial" w:hint="eastAsia"/>
          <w:sz w:val="24"/>
        </w:rPr>
        <w:lastRenderedPageBreak/>
        <w:t>协议第十五条第（九）</w:t>
      </w:r>
      <w:proofErr w:type="gramStart"/>
      <w:r>
        <w:rPr>
          <w:rFonts w:ascii="彩虹粗仿宋" w:eastAsia="彩虹粗仿宋" w:hAnsi="宋体" w:cs="Arial" w:hint="eastAsia"/>
          <w:sz w:val="24"/>
        </w:rPr>
        <w:t>款基金</w:t>
      </w:r>
      <w:proofErr w:type="gramEnd"/>
      <w:r>
        <w:rPr>
          <w:rFonts w:ascii="彩虹粗仿宋" w:eastAsia="彩虹粗仿宋" w:hAnsi="宋体" w:cs="Arial" w:hint="eastAsia"/>
          <w:sz w:val="24"/>
        </w:rPr>
        <w:t>投资禁止行为通过事后监督方式进行监督。</w:t>
      </w:r>
    </w:p>
    <w:p w14:paraId="6F5C419D" w14:textId="3CB9A7DE"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p>
    <w:p w14:paraId="414E0B49"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法律法规或监管部门取消或调整上述禁止性规定，如适用于本基金，基金管理人在履行适当程序后，则本基金投资不再受相关限制或按调整后的规定执行。</w:t>
      </w:r>
    </w:p>
    <w:p w14:paraId="2734EA08" w14:textId="7802C7D5"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3402F45F" w14:textId="62A9C3BE"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个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0407608" w14:textId="679D526D"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019C2BB" w14:textId="19700534"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57506682" w14:textId="79845B0D"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w:t>
      </w:r>
      <w:r>
        <w:rPr>
          <w:rFonts w:ascii="彩虹粗仿宋" w:eastAsia="彩虹粗仿宋" w:hAnsi="宋体" w:cs="Arial" w:hint="eastAsia"/>
          <w:sz w:val="24"/>
        </w:rPr>
        <w:lastRenderedPageBreak/>
        <w:t>正的，基金托管人应报告中国证监会。</w:t>
      </w:r>
    </w:p>
    <w:p w14:paraId="42797C9E" w14:textId="77777777" w:rsidR="0053190E" w:rsidRDefault="0053190E">
      <w:pPr>
        <w:rPr>
          <w:rFonts w:ascii="彩虹粗仿宋" w:eastAsia="彩虹粗仿宋"/>
          <w:sz w:val="24"/>
        </w:rPr>
      </w:pPr>
    </w:p>
    <w:p w14:paraId="49AE88BF" w14:textId="77777777" w:rsidR="0053190E" w:rsidRDefault="000529FB">
      <w:pPr>
        <w:pStyle w:val="2"/>
        <w:jc w:val="center"/>
        <w:rPr>
          <w:rFonts w:ascii="彩虹粗仿宋" w:eastAsia="彩虹粗仿宋"/>
          <w:sz w:val="30"/>
        </w:rPr>
      </w:pPr>
      <w:bookmarkStart w:id="6" w:name="_Toc86223242"/>
      <w:bookmarkStart w:id="7" w:name="_Toc118972648"/>
      <w:bookmarkStart w:id="8" w:name="_Toc86225291"/>
      <w:bookmarkStart w:id="9" w:name="_Toc118212950"/>
      <w:bookmarkStart w:id="10" w:name="_Toc86726439"/>
      <w:bookmarkStart w:id="11" w:name="_Toc124325888"/>
      <w:bookmarkStart w:id="12" w:name="_Toc89163368"/>
      <w:bookmarkStart w:id="13" w:name="_Toc108512358"/>
      <w:bookmarkStart w:id="14" w:name="_Toc120435783"/>
      <w:bookmarkStart w:id="15" w:name="_Toc119402710"/>
      <w:bookmarkStart w:id="16" w:name="_Toc86649722"/>
      <w:bookmarkStart w:id="17" w:name="_Toc110761796"/>
      <w:bookmarkStart w:id="18" w:name="_Toc86727355"/>
      <w:bookmarkStart w:id="19" w:name="_Toc110765660"/>
      <w:bookmarkStart w:id="20" w:name="_Toc118774803"/>
      <w:bookmarkStart w:id="21" w:name="_Toc110830492"/>
      <w:bookmarkStart w:id="22" w:name="_Toc86737929"/>
      <w:r>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7C0EEF0"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14:paraId="4F9B4813"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或其他双方认可的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14:paraId="1328E768"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34246D7" w14:textId="77777777" w:rsidR="0053190E" w:rsidRDefault="0053190E">
      <w:pPr>
        <w:rPr>
          <w:rFonts w:ascii="彩虹粗仿宋" w:eastAsia="彩虹粗仿宋"/>
          <w:sz w:val="24"/>
        </w:rPr>
      </w:pPr>
    </w:p>
    <w:p w14:paraId="40A47993" w14:textId="77777777" w:rsidR="0053190E" w:rsidRDefault="000529FB">
      <w:pPr>
        <w:pStyle w:val="2"/>
        <w:jc w:val="center"/>
        <w:rPr>
          <w:rFonts w:ascii="彩虹粗仿宋" w:eastAsia="彩虹粗仿宋"/>
          <w:sz w:val="30"/>
        </w:rPr>
      </w:pPr>
      <w:bookmarkStart w:id="23" w:name="_Toc86204789"/>
      <w:bookmarkStart w:id="24" w:name="_Toc108512359"/>
      <w:bookmarkStart w:id="25" w:name="_Toc86727356"/>
      <w:bookmarkStart w:id="26" w:name="_Toc118212951"/>
      <w:bookmarkStart w:id="27" w:name="_Toc124325889"/>
      <w:bookmarkStart w:id="28" w:name="_Toc86225292"/>
      <w:bookmarkStart w:id="29" w:name="_Toc86649723"/>
      <w:bookmarkStart w:id="30" w:name="_Toc84133786"/>
      <w:bookmarkStart w:id="31" w:name="_Toc86223243"/>
      <w:bookmarkStart w:id="32" w:name="_Toc86726440"/>
      <w:bookmarkStart w:id="33" w:name="_Toc118972649"/>
      <w:bookmarkStart w:id="34" w:name="_Toc110765661"/>
      <w:bookmarkStart w:id="35" w:name="_Toc119402711"/>
      <w:bookmarkStart w:id="36" w:name="_Toc89163369"/>
      <w:bookmarkStart w:id="37" w:name="_Toc86737930"/>
      <w:bookmarkStart w:id="38" w:name="_Toc84234388"/>
      <w:bookmarkStart w:id="39" w:name="_Toc110761797"/>
      <w:bookmarkStart w:id="40" w:name="_Toc118774804"/>
      <w:bookmarkStart w:id="41" w:name="_Toc120435784"/>
      <w:bookmarkStart w:id="42" w:name="_Toc110830493"/>
      <w:bookmarkStart w:id="43" w:name="_Toc84234435"/>
      <w:r>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0D8E395"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1B9F832E"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51782A18"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09F3AA69"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3.基金托管人按照规定开设基金财产的资金账户、证券账户等投资所需账户。</w:t>
      </w:r>
    </w:p>
    <w:p w14:paraId="63DD251B"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4.基金托管人对所托管的不同基金财产分别设置账户，分账管理，独立核算，确保基金财产的完整与独立。</w:t>
      </w:r>
    </w:p>
    <w:p w14:paraId="35E56808"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14:paraId="3CD4D1F9" w14:textId="2D59CAC6"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给予必要的协助与配合。</w:t>
      </w:r>
    </w:p>
    <w:p w14:paraId="1FF003D5"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55CFB6FA"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1CAB824B"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7AB2392E" w14:textId="68C4D7CF"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中华人民共和国证券法》规定的会计师事务所进行验资，出具验资报告。出具的验资报告由参加验资的2名或2名以上中国注册会计师签字方为有效。</w:t>
      </w:r>
    </w:p>
    <w:p w14:paraId="555F821A"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募集期限届满，未能达到《基金合同》生效的条件，由基金管理人按规定办理退款等事宜，基金托管人应给予必要的协助与配合。</w:t>
      </w:r>
    </w:p>
    <w:p w14:paraId="4C0EF038" w14:textId="6297FDC8"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（三）基金托管资金账户的开立和管理</w:t>
      </w:r>
    </w:p>
    <w:p w14:paraId="742266D6" w14:textId="45AE672F"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1.基金托管人可以基金的名义在其营业机构开立基金的托管资金账户，并根据基金管理人合法合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14:paraId="66D01F6B" w14:textId="345E6B26"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2.基金托管资金账户的开立和使用，限于满足开展本基金业务的需要。基金托管人和基金管理人不得假借本基金的名义开立任何其他托管资金账户；亦不得使用基金的任何账户进行本基金业务以外的活动。</w:t>
      </w:r>
    </w:p>
    <w:p w14:paraId="5952397D" w14:textId="254163C1"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3.基金托管资金账户的开立和管理应符合银行业监督管理机构的有关规定。</w:t>
      </w:r>
    </w:p>
    <w:p w14:paraId="0692B9E9"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45F2DDAF"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5.管理人应于托管基金清盘后及时完成收益兑付、费用结清及其他应收应付款</w:t>
      </w:r>
      <w:r>
        <w:rPr>
          <w:rFonts w:ascii="彩虹粗仿宋" w:eastAsia="彩虹粗仿宋" w:hAnsi="宋体" w:cs="Arial" w:hint="eastAsia"/>
          <w:sz w:val="24"/>
        </w:rPr>
        <w:lastRenderedPageBreak/>
        <w:t>项资金划转，在确保后续不再发生款项进出后的10个工作日内向托管人发出销户申请。</w:t>
      </w:r>
    </w:p>
    <w:p w14:paraId="112F6BB4"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634385C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3070BFC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07AC308"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30990683"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w:t>
      </w:r>
      <w:proofErr w:type="gramStart"/>
      <w:r>
        <w:rPr>
          <w:rFonts w:ascii="彩虹粗仿宋" w:eastAsia="彩虹粗仿宋" w:hAnsi="宋体" w:cs="Arial" w:hint="eastAsia"/>
          <w:sz w:val="24"/>
        </w:rPr>
        <w:t>待本基金</w:t>
      </w:r>
      <w:proofErr w:type="gramEnd"/>
      <w:r>
        <w:rPr>
          <w:rFonts w:ascii="彩虹粗仿宋" w:eastAsia="彩虹粗仿宋" w:hAnsi="宋体" w:cs="Arial" w:hint="eastAsia"/>
          <w:sz w:val="24"/>
        </w:rPr>
        <w:t>启始运营后，基金管理人可向基金托管人发送划款指令，将代垫开户费从本基金托管资金账户中扣还基金管理人。</w:t>
      </w:r>
    </w:p>
    <w:p w14:paraId="799BAC20"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4231F09F" w14:textId="77777777" w:rsidR="00E064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5.账户注销时，在遵守中国证券登记结算有限责任公司的相关规定下，由管理人和托管人协商确认主要办理人。账户注销期间，主要办理人如需另一方提供配合的，另一方应予以配合。</w:t>
      </w:r>
    </w:p>
    <w:p w14:paraId="170081CB" w14:textId="1E57662C"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14:paraId="09800092" w14:textId="19F75C76"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（五）银行间账户的开设和管理</w:t>
      </w:r>
    </w:p>
    <w:p w14:paraId="0EA2A0E2" w14:textId="5E14B304"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专户，并代表基金进行银行间市场债券的结算。</w:t>
      </w:r>
    </w:p>
    <w:p w14:paraId="5C5CF3A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74FB7A58"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E9182C5"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2.法律法规等有关规定对相关账户的开立和管理另有规定的，从其规定办理。</w:t>
      </w:r>
    </w:p>
    <w:p w14:paraId="5F52A2B2"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00386C7F" w14:textId="09ED0650" w:rsidR="0053190E" w:rsidRDefault="000529FB">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等有价凭证由基金托管人存放于基金托管人的保管库，也可存入法律法规有关规定允许的</w:t>
      </w:r>
      <w:proofErr w:type="gramStart"/>
      <w:r>
        <w:rPr>
          <w:rFonts w:ascii="彩虹粗仿宋" w:eastAsia="彩虹粗仿宋" w:hAnsi="宋体" w:cs="Arial" w:hint="eastAsia"/>
          <w:sz w:val="24"/>
        </w:rPr>
        <w:t>各类代保管</w:t>
      </w:r>
      <w:proofErr w:type="gramEnd"/>
      <w:r>
        <w:rPr>
          <w:rFonts w:ascii="彩虹粗仿宋" w:eastAsia="彩虹粗仿宋" w:hAnsi="宋体" w:cs="Arial" w:hint="eastAsia"/>
          <w:sz w:val="24"/>
        </w:rPr>
        <w:t>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298BDAB"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08B114EF" w14:textId="6517E67B"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尽量保证基金管理人和基金托管人至少各持有一份正本的原件。基金管理人应在重大合同签署后及时将重大合同传真给基金托管人，并在三十个工作日内将正本送达基金托管人处。重大合同的保管期限不少于法律法规的规定。</w:t>
      </w:r>
    </w:p>
    <w:p w14:paraId="34237070"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14:paraId="4E9D4BB5" w14:textId="77777777" w:rsidR="0053190E" w:rsidRDefault="0053190E">
      <w:pPr>
        <w:rPr>
          <w:rFonts w:ascii="彩虹粗仿宋" w:eastAsia="彩虹粗仿宋"/>
          <w:sz w:val="24"/>
        </w:rPr>
      </w:pPr>
    </w:p>
    <w:p w14:paraId="036E427D" w14:textId="77777777" w:rsidR="0053190E" w:rsidRDefault="000529FB">
      <w:pPr>
        <w:pStyle w:val="2"/>
        <w:jc w:val="center"/>
        <w:rPr>
          <w:rFonts w:ascii="彩虹粗仿宋" w:eastAsia="彩虹粗仿宋"/>
          <w:sz w:val="30"/>
        </w:rPr>
      </w:pPr>
      <w:bookmarkStart w:id="44" w:name="_Toc86649724"/>
      <w:bookmarkStart w:id="45" w:name="_Toc110765662"/>
      <w:bookmarkStart w:id="46" w:name="_Toc108512360"/>
      <w:bookmarkStart w:id="47" w:name="_Toc86225293"/>
      <w:bookmarkStart w:id="48" w:name="_Toc124325890"/>
      <w:bookmarkStart w:id="49" w:name="_Toc89163370"/>
      <w:bookmarkStart w:id="50" w:name="_Toc86204790"/>
      <w:bookmarkStart w:id="51" w:name="_Toc118212952"/>
      <w:bookmarkStart w:id="52" w:name="_Toc110761798"/>
      <w:bookmarkStart w:id="53" w:name="_Toc86223244"/>
      <w:bookmarkStart w:id="54" w:name="_Toc84133787"/>
      <w:bookmarkStart w:id="55" w:name="_Toc120435785"/>
      <w:bookmarkStart w:id="56" w:name="_Toc110830494"/>
      <w:bookmarkStart w:id="57" w:name="_Toc86737931"/>
      <w:bookmarkStart w:id="58" w:name="_Toc118774805"/>
      <w:bookmarkStart w:id="59" w:name="_Toc84234436"/>
      <w:bookmarkStart w:id="60" w:name="_Toc86726441"/>
      <w:bookmarkStart w:id="61" w:name="_Toc86727357"/>
      <w:bookmarkStart w:id="62" w:name="_Toc119402712"/>
      <w:bookmarkStart w:id="63" w:name="_Toc118972650"/>
      <w:bookmarkStart w:id="64" w:name="_Toc84234389"/>
      <w:r>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7F95FD2"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4DDCDC8"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7C2C7155"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5004B780"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2.基金管理人应向基金托管人提供书面授权文件原件，内容包括被授权人名单、预留印鉴及被授权人签字样本，授权文件应注明被授权人相应的权限, 并加盖单位公章。</w:t>
      </w:r>
    </w:p>
    <w:p w14:paraId="0D40035A"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6BCD4D9D"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4.基金管理人和基金托管人对授权文件负有保密义务，其内容不得向被授权人及相关操作人员以外的任何人泄露。但法律法规规定或有权机关要求的除外。</w:t>
      </w:r>
    </w:p>
    <w:p w14:paraId="3E276989"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09087D05"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25B0F0E6"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2.基金管理人发给基金托管人的指令应写明款项事由、支付时间、到账时间、金额、收付款账户等，加盖预留印鉴并由被授权人签字。</w:t>
      </w:r>
    </w:p>
    <w:p w14:paraId="48EDA2B1"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5F8748D3"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6401AF66" w14:textId="60F1D818"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基金管理人发送指令应采用传真方式或双方协商一致的其他方式。</w:t>
      </w:r>
    </w:p>
    <w:p w14:paraId="7B56E60B"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4FC42669"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33027212"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FDEF3E7"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273FDD2E"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814F5B7"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37235CAD" w14:textId="38FC01A3" w:rsidR="0053190E" w:rsidRDefault="000529FB">
      <w:pPr>
        <w:pStyle w:val="a6"/>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w:t>
      </w:r>
      <w:r>
        <w:rPr>
          <w:rFonts w:ascii="彩虹粗仿宋" w:eastAsia="彩虹粗仿宋" w:hAnsi="宋体" w:cs="Arial" w:hint="eastAsia"/>
          <w:szCs w:val="24"/>
        </w:rPr>
        <w:t>基金管理人应确保基金托管人在执行指令时，</w:t>
      </w:r>
      <w:r w:rsidR="007301BF">
        <w:rPr>
          <w:rFonts w:ascii="彩虹粗仿宋" w:eastAsia="彩虹粗仿宋" w:hAnsi="宋体" w:cs="Arial" w:hint="eastAsia"/>
          <w:szCs w:val="24"/>
        </w:rPr>
        <w:t>托管</w:t>
      </w:r>
      <w:r>
        <w:rPr>
          <w:rFonts w:ascii="彩虹粗仿宋" w:eastAsia="彩虹粗仿宋" w:hAnsi="宋体" w:cs="Arial" w:hint="eastAsia"/>
          <w:szCs w:val="24"/>
        </w:rPr>
        <w:t>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62A7219A" w14:textId="77777777" w:rsidR="0053190E" w:rsidRDefault="000529FB">
      <w:pPr>
        <w:pStyle w:val="a6"/>
        <w:spacing w:line="240" w:lineRule="auto"/>
        <w:ind w:firstLineChars="0"/>
        <w:rPr>
          <w:rFonts w:ascii="彩虹粗仿宋" w:eastAsia="彩虹粗仿宋" w:hAnsi="宋体" w:cs="Arial"/>
        </w:rPr>
      </w:pPr>
      <w:r>
        <w:rPr>
          <w:rFonts w:ascii="彩虹粗仿宋" w:eastAsia="彩虹粗仿宋" w:hAnsi="宋体" w:cs="Arial" w:hint="eastAsia"/>
        </w:rPr>
        <w:lastRenderedPageBreak/>
        <w:t>（四）基金管理人发送错误指令的情形和处理程序</w:t>
      </w:r>
    </w:p>
    <w:p w14:paraId="40C0F919" w14:textId="36D799CA"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基金管理人发送错误指令的情形包括指令违反法律法规、监管规定、《基金合同》或本协议的约定，或指令发送人员无权或超越权限发送指令。</w:t>
      </w:r>
    </w:p>
    <w:p w14:paraId="2245E3BD" w14:textId="0833B07B" w:rsidR="0009497A" w:rsidRDefault="000529FB" w:rsidP="0044518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基金托管人发现基金管理人的指令错误时，有权拒绝执行，并及时通知基金管理人改正。如需托管人撤销尚未执行的指令，基金管理人应出具作废指令或作废说明，并电话通知托管人。</w:t>
      </w:r>
    </w:p>
    <w:p w14:paraId="4BB5CB69" w14:textId="254AB220" w:rsidR="0053190E" w:rsidRDefault="000529FB" w:rsidP="0044518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（五）基金托管人未按照基金管理人指令执行的处理方法</w:t>
      </w:r>
    </w:p>
    <w:p w14:paraId="18494F97"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基金托管人由于自身过错，未按照基金管理人发送的符合法律法规、监管规定、《基金合同》和本协议约定的指令执行并对基金财产或投资人造成的直接损失，由基金托管人</w:t>
      </w:r>
      <w:r>
        <w:rPr>
          <w:rFonts w:ascii="彩虹粗仿宋" w:eastAsia="彩虹粗仿宋" w:hint="eastAsia"/>
          <w:sz w:val="24"/>
        </w:rPr>
        <w:t>赔偿由此造成的直接损失。</w:t>
      </w:r>
    </w:p>
    <w:p w14:paraId="5B5C8A9B" w14:textId="3DA042BA"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50704F">
        <w:rPr>
          <w:rFonts w:ascii="彩虹粗仿宋" w:eastAsia="彩虹粗仿宋" w:hAnsi="宋体" w:cs="Arial" w:hint="eastAsia"/>
          <w:sz w:val="24"/>
        </w:rPr>
        <w:t>六</w:t>
      </w:r>
      <w:r>
        <w:rPr>
          <w:rFonts w:ascii="彩虹粗仿宋" w:eastAsia="彩虹粗仿宋" w:hAnsi="宋体" w:cs="Arial" w:hint="eastAsia"/>
          <w:sz w:val="24"/>
        </w:rPr>
        <w:t>）更换被授权人的程序</w:t>
      </w:r>
    </w:p>
    <w:p w14:paraId="083E35ED" w14:textId="75647AE4"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加盖公章的新的授权文件以传真方式通知基金托管人，并经电话确认后生效，原授权文件同时废止。新的授权文件在传真发出后七个工作日内送达托管</w:t>
      </w:r>
      <w:proofErr w:type="gramStart"/>
      <w:r>
        <w:rPr>
          <w:rFonts w:ascii="彩虹粗仿宋" w:eastAsia="彩虹粗仿宋" w:hAnsi="宋体" w:cs="Arial" w:hint="eastAsia"/>
          <w:sz w:val="24"/>
        </w:rPr>
        <w:t>人文件</w:t>
      </w:r>
      <w:proofErr w:type="gramEnd"/>
      <w:r>
        <w:rPr>
          <w:rFonts w:ascii="彩虹粗仿宋" w:eastAsia="彩虹粗仿宋" w:hAnsi="宋体" w:cs="Arial" w:hint="eastAsia"/>
          <w:sz w:val="24"/>
        </w:rPr>
        <w:t>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基金托管人更换接收基金管理人指令的传真号或邮箱地址，应提前通知基金管理人。</w:t>
      </w:r>
    </w:p>
    <w:p w14:paraId="162DE10A" w14:textId="2ACB7E75"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50704F">
        <w:rPr>
          <w:rFonts w:ascii="彩虹粗仿宋" w:eastAsia="彩虹粗仿宋" w:hAnsi="宋体" w:cs="Arial" w:hint="eastAsia"/>
          <w:sz w:val="24"/>
        </w:rPr>
        <w:t>七</w:t>
      </w:r>
      <w:r>
        <w:rPr>
          <w:rFonts w:ascii="彩虹粗仿宋" w:eastAsia="彩虹粗仿宋" w:hAnsi="宋体" w:cs="Arial" w:hint="eastAsia"/>
          <w:sz w:val="24"/>
        </w:rPr>
        <w:t>）其他事项</w:t>
      </w:r>
    </w:p>
    <w:p w14:paraId="791F09BB" w14:textId="5BBF0B45"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表面相符进行检查，如发现问题，应及时报告基金管理人，基金托管人对执行基金管理人的有效指令对基金财产造成的损失不承担赔偿责任。</w:t>
      </w:r>
    </w:p>
    <w:p w14:paraId="49593577"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E64F17D" w14:textId="77777777" w:rsidR="0053190E" w:rsidRDefault="0053190E">
      <w:pPr>
        <w:adjustRightInd w:val="0"/>
        <w:snapToGrid w:val="0"/>
        <w:rPr>
          <w:rFonts w:ascii="彩虹粗仿宋" w:eastAsia="彩虹粗仿宋" w:hAnsi="宋体" w:cs="Arial"/>
          <w:sz w:val="24"/>
        </w:rPr>
      </w:pPr>
    </w:p>
    <w:p w14:paraId="019151C2" w14:textId="77777777" w:rsidR="0053190E" w:rsidRDefault="000529FB">
      <w:pPr>
        <w:pStyle w:val="2"/>
        <w:jc w:val="center"/>
        <w:rPr>
          <w:rFonts w:ascii="彩虹粗仿宋" w:eastAsia="彩虹粗仿宋"/>
          <w:sz w:val="30"/>
        </w:rPr>
      </w:pPr>
      <w:bookmarkStart w:id="65" w:name="_Toc110761799"/>
      <w:bookmarkStart w:id="66" w:name="_Toc110765663"/>
      <w:bookmarkStart w:id="67" w:name="_Toc124325891"/>
      <w:bookmarkStart w:id="68" w:name="_Toc84133788"/>
      <w:bookmarkStart w:id="69" w:name="_Toc108512361"/>
      <w:bookmarkStart w:id="70" w:name="_Toc110830495"/>
      <w:bookmarkStart w:id="71" w:name="_Toc120435786"/>
      <w:bookmarkStart w:id="72" w:name="_Toc84234390"/>
      <w:bookmarkStart w:id="73" w:name="_Toc118774806"/>
      <w:bookmarkStart w:id="74" w:name="_Toc118972651"/>
      <w:bookmarkStart w:id="75" w:name="_Toc86225294"/>
      <w:bookmarkStart w:id="76" w:name="_Toc86737932"/>
      <w:bookmarkStart w:id="77" w:name="_Toc84234437"/>
      <w:bookmarkStart w:id="78" w:name="_Toc118212953"/>
      <w:bookmarkStart w:id="79" w:name="_Toc86204791"/>
      <w:bookmarkStart w:id="80" w:name="_Toc86223245"/>
      <w:bookmarkStart w:id="81" w:name="_Toc119402713"/>
      <w:bookmarkStart w:id="82" w:name="_Toc86726442"/>
      <w:bookmarkStart w:id="83" w:name="_Toc86727358"/>
      <w:bookmarkStart w:id="84" w:name="_Toc89163371"/>
      <w:bookmarkStart w:id="85" w:name="_Toc86649725"/>
      <w:r>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EFA3101"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参与交易所场内证券投资，采取托管人结算模式，基金管理人与基金托管人应根据有关法律法规及相关业务规则，签订《托管银行证券资金结算协议》用以具体明确基金管理人与基金托管人在证券交易资金结算业务中的程序与责任。协议签署前，基金管理人应按基金托管人要求配合提供相应准入材料。</w:t>
      </w:r>
    </w:p>
    <w:p w14:paraId="1F36CFAE" w14:textId="4B203BD2"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基金管理人、基金托管人应遵守本协议下述（一）和（二）之约定。</w:t>
      </w:r>
    </w:p>
    <w:p w14:paraId="14C9FCC3"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（一）选择证券/期货买卖的证券/期货经营机构</w:t>
      </w:r>
    </w:p>
    <w:p w14:paraId="23F2814F"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使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9577D9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基金管理人负责选择为本基金提供期货交易服务的期货经纪机构，并与其签订期货经纪合同。基金管理人、基金托管人和期货公司等可就基金参与国债期货交易的具体事项另行签订协议约定。</w:t>
      </w:r>
    </w:p>
    <w:p w14:paraId="1C79745B"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本基金在开始进行期货投资之前，基金管理人应与基金托管人、期货公司三方</w:t>
      </w:r>
      <w:proofErr w:type="gramStart"/>
      <w:r>
        <w:rPr>
          <w:rFonts w:ascii="彩虹粗仿宋" w:eastAsia="彩虹粗仿宋" w:hAnsi="宋体" w:cs="Arial" w:hint="eastAsia"/>
          <w:sz w:val="24"/>
        </w:rPr>
        <w:t>一同就</w:t>
      </w:r>
      <w:proofErr w:type="gramEnd"/>
      <w:r>
        <w:rPr>
          <w:rFonts w:ascii="彩虹粗仿宋" w:eastAsia="彩虹粗仿宋" w:hAnsi="宋体" w:cs="Arial" w:hint="eastAsia"/>
          <w:sz w:val="24"/>
        </w:rPr>
        <w:t>期货开户、清算、估值、交收等事宜另行签署《期货投资托管操作三方备忘录》。</w:t>
      </w:r>
    </w:p>
    <w:p w14:paraId="7A717583"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（二）基金投资证券/期货后的清算交收安排</w:t>
      </w:r>
    </w:p>
    <w:p w14:paraId="6DB6141B"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w:t>
      </w:r>
      <w:r>
        <w:rPr>
          <w:rFonts w:ascii="彩虹粗仿宋" w:eastAsia="彩虹粗仿宋" w:hAnsi="宋体" w:cs="Arial" w:hint="eastAsia"/>
          <w:sz w:val="24"/>
        </w:rPr>
        <w:t>结算备付金与保证金</w:t>
      </w:r>
    </w:p>
    <w:p w14:paraId="7D2E30D6"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w:t>
      </w:r>
    </w:p>
    <w:p w14:paraId="5F1763A8"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w:t>
      </w:r>
      <w:proofErr w:type="gramStart"/>
      <w:r>
        <w:rPr>
          <w:rFonts w:ascii="彩虹粗仿宋" w:eastAsia="彩虹粗仿宋" w:hAnsi="宋体" w:cs="Arial" w:hint="eastAsia"/>
          <w:sz w:val="24"/>
        </w:rPr>
        <w:t>视基金</w:t>
      </w:r>
      <w:proofErr w:type="gramEnd"/>
      <w:r>
        <w:rPr>
          <w:rFonts w:ascii="彩虹粗仿宋" w:eastAsia="彩虹粗仿宋" w:hAnsi="宋体" w:cs="Arial" w:hint="eastAsia"/>
          <w:sz w:val="24"/>
        </w:rPr>
        <w:t>托管人最低结算备付金比例计收方式分别于下列时点补足透支金额：</w:t>
      </w:r>
    </w:p>
    <w:p w14:paraId="1F571926"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（1）固定备付金比例计收方式下，基金管理人应在调整最低备付金、结算保证金当日上午11：00之前补足金额。</w:t>
      </w:r>
    </w:p>
    <w:p w14:paraId="6B6C769B"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（2）差异化备付金比例计收方式下，基金管理人应最晚于资金</w:t>
      </w:r>
      <w:proofErr w:type="gramStart"/>
      <w:r>
        <w:rPr>
          <w:rFonts w:ascii="彩虹粗仿宋" w:eastAsia="彩虹粗仿宋" w:hAnsi="宋体" w:cs="Arial" w:hint="eastAsia"/>
          <w:sz w:val="24"/>
        </w:rPr>
        <w:t>交收日上午</w:t>
      </w:r>
      <w:proofErr w:type="gramEnd"/>
      <w:r>
        <w:rPr>
          <w:rFonts w:ascii="彩虹粗仿宋" w:eastAsia="彩虹粗仿宋" w:hAnsi="宋体" w:cs="Arial" w:hint="eastAsia"/>
          <w:sz w:val="24"/>
        </w:rPr>
        <w:t>8：30前补足金额。</w:t>
      </w:r>
    </w:p>
    <w:p w14:paraId="3B0F142A"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2.清算交收</w:t>
      </w:r>
    </w:p>
    <w:p w14:paraId="4C8572D6"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69364F1" w14:textId="2EA3B464"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如果因为基金托管人自身过错在清算上造成基金财产的直接损失，应由基金托管人负责赔偿，但因中国人民银行、中国证券登记结算有限责任公司和银行间市</w:t>
      </w:r>
      <w:r>
        <w:rPr>
          <w:rFonts w:ascii="彩虹粗仿宋" w:eastAsia="彩虹粗仿宋" w:hAnsi="宋体" w:cs="Arial" w:hint="eastAsia"/>
          <w:sz w:val="24"/>
        </w:rPr>
        <w:lastRenderedPageBreak/>
        <w:t>场登记结算机构资金结算系统以及其他机构的结算系统发生故障等</w:t>
      </w:r>
      <w:proofErr w:type="gramStart"/>
      <w:r>
        <w:rPr>
          <w:rFonts w:ascii="彩虹粗仿宋" w:eastAsia="彩虹粗仿宋" w:hAnsi="宋体" w:cs="Arial" w:hint="eastAsia"/>
          <w:sz w:val="24"/>
        </w:rPr>
        <w:t>非基金</w:t>
      </w:r>
      <w:proofErr w:type="gramEnd"/>
      <w:r>
        <w:rPr>
          <w:rFonts w:ascii="彩虹粗仿宋" w:eastAsia="彩虹粗仿宋" w:hAnsi="宋体" w:cs="Arial" w:hint="eastAsia"/>
          <w:sz w:val="24"/>
        </w:rPr>
        <w:t>托管人可以控制的因素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073F8B74"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 T+1日中国证券登记结算有限责任公司的资金交收；如因基金管理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导致资金头寸不足，基金管理人应</w:t>
      </w:r>
      <w:proofErr w:type="gramStart"/>
      <w:r>
        <w:rPr>
          <w:rFonts w:ascii="彩虹粗仿宋" w:eastAsia="彩虹粗仿宋" w:hAnsi="宋体" w:cs="Arial" w:hint="eastAsia"/>
          <w:sz w:val="24"/>
        </w:rPr>
        <w:t>视基金</w:t>
      </w:r>
      <w:proofErr w:type="gramEnd"/>
      <w:r>
        <w:rPr>
          <w:rFonts w:ascii="彩虹粗仿宋" w:eastAsia="彩虹粗仿宋" w:hAnsi="宋体" w:cs="Arial" w:hint="eastAsia"/>
          <w:sz w:val="24"/>
        </w:rPr>
        <w:t>托管人最低结算备付金比例计收方式分别于下列时点补足透支金额：</w:t>
      </w:r>
    </w:p>
    <w:p w14:paraId="2BD58914"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（1）固定备付金比例计收方式下，基金管理人应最晚于资金</w:t>
      </w:r>
      <w:proofErr w:type="gramStart"/>
      <w:r>
        <w:rPr>
          <w:rFonts w:ascii="彩虹粗仿宋" w:eastAsia="彩虹粗仿宋" w:hAnsi="宋体" w:cs="Arial" w:hint="eastAsia"/>
          <w:sz w:val="24"/>
        </w:rPr>
        <w:t>交收日上午</w:t>
      </w:r>
      <w:proofErr w:type="gramEnd"/>
      <w:r>
        <w:rPr>
          <w:rFonts w:ascii="彩虹粗仿宋" w:eastAsia="彩虹粗仿宋" w:hAnsi="宋体" w:cs="Arial" w:hint="eastAsia"/>
          <w:sz w:val="24"/>
        </w:rPr>
        <w:t>11：00前补足金额。</w:t>
      </w:r>
    </w:p>
    <w:p w14:paraId="39F896FD"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（2）差异化备付金比例计收方式下，基金管理人应最晚于资金</w:t>
      </w:r>
      <w:proofErr w:type="gramStart"/>
      <w:r>
        <w:rPr>
          <w:rFonts w:ascii="彩虹粗仿宋" w:eastAsia="彩虹粗仿宋" w:hAnsi="宋体" w:cs="Arial" w:hint="eastAsia"/>
          <w:sz w:val="24"/>
        </w:rPr>
        <w:t>交收日上午</w:t>
      </w:r>
      <w:proofErr w:type="gramEnd"/>
      <w:r>
        <w:rPr>
          <w:rFonts w:ascii="彩虹粗仿宋" w:eastAsia="彩虹粗仿宋" w:hAnsi="宋体" w:cs="Arial" w:hint="eastAsia"/>
          <w:sz w:val="24"/>
        </w:rPr>
        <w:t>8：30前补足金额。如果基金管理人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0C52FC5"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造成债券回购交收违约或因折算率变化造成质押欠库，导致中国证券登记结算有限责任公司欠库扣款或对质押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进行处置造成的投资风险和损失由基金管理人承担。</w:t>
      </w:r>
    </w:p>
    <w:p w14:paraId="77C65375"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对于中国证券登记结算有限责任公司实行T+0非担保交收的业务，基金管理人应在交易日14:00前将划款指令发送至基金托管人。因基金管理人指令传输不及时，致使资金未能及时划入中国证券登记结算有限责任公司指定交收账户所造成的损失由基金管理人承担。包括赔偿在该市场引起其他托管客户交易失败、赔偿因占用结算参与人最低备付金带来的利息损失。</w:t>
      </w:r>
    </w:p>
    <w:p w14:paraId="0E7CA6DE"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.交易记录、资金和证券/期货账目核对的时间和方式</w:t>
      </w:r>
    </w:p>
    <w:p w14:paraId="5F1A53C2"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100C33C3"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基金管理人按日进行交易记录的核对。对外披露净值之前，必须保证当天所有</w:t>
      </w:r>
      <w:r>
        <w:rPr>
          <w:rFonts w:ascii="彩虹粗仿宋" w:eastAsia="彩虹粗仿宋" w:hAnsi="宋体" w:cs="Arial" w:hint="eastAsia"/>
          <w:sz w:val="24"/>
        </w:rPr>
        <w:lastRenderedPageBreak/>
        <w:t>实际交易记录与基金会计账簿上的交易记录完全一致。如果实际交易记录与会计账簿记录不一致，造成基金会计核算不完整或不真实，由此导致的损失由基金管理人承担。</w:t>
      </w:r>
    </w:p>
    <w:p w14:paraId="3F2A841A"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5D1A9F21"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61578BFA"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（3）证券/期货账目的核对</w:t>
      </w:r>
    </w:p>
    <w:p w14:paraId="76A1F199" w14:textId="594C36A5"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基金管理人和基金托管人每个交易日结束后核对基金证券/期货账目，确保双方账目相符。</w:t>
      </w:r>
    </w:p>
    <w:p w14:paraId="4FE0BE1C" w14:textId="77777777" w:rsidR="0053190E" w:rsidRDefault="000529FB">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7BEA1D9F"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5F7F5AB7"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3C8055C"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14:paraId="1B825CF6" w14:textId="7C8A3CE8"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5489A87B"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40116A00"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771C4A61"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135E56EA"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托管资金账户的，基金托管人应及时通知基金管理人采取措施进行催收，由此造成基金损失的，基金管理人应负责向有关当事人追偿基金的损失，基金托管人应给予必要的协助与配合。</w:t>
      </w:r>
    </w:p>
    <w:p w14:paraId="173DDF6E"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3BB12F24"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或进行基金分红时，如基金托管资金账户有足够的资金，基金托管人应按时拨付；因基金托管资金账户没有足够的资金，导致基金托管人不能按时拨付，如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14:paraId="313CEEDE"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9.资金指令</w:t>
      </w:r>
    </w:p>
    <w:p w14:paraId="09A487E7"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除申购款项到达基金托管资金账户需双方按约定方式对账外，回购到期付款和与投资有关的付款、赎回和分红资金划拨时，基金管理人需向基金托管人下达指令。</w:t>
      </w:r>
    </w:p>
    <w:p w14:paraId="45BAEE63"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2F5827FA"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14:paraId="64027DC1"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资金账户与“基金清算账户”间的资金结算遵循“全额清算、净额交收”的原则，每日(T日：资金交收日，下同)按照托管资金账户应收资金与应付资金的差额来确定托管资金账户净应收额或净应付额，以此确定资金交收额。当存在托管资金账户净应收额时，基金管理人应在T日15:00之前从基金清算账户划到基金托管资金账户；当存在托管资金账户净应付额时，基金管理人应在T-1日将划款指令发送给基金托管人，基金托管人按基金管理人的划款指令将托管资金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14:paraId="50DDFE81" w14:textId="77777777" w:rsidR="0053190E" w:rsidRDefault="000529FB">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14:paraId="6F797393" w14:textId="77777777" w:rsidR="0053190E" w:rsidRDefault="000529F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2153D101" w14:textId="77777777" w:rsidR="0053190E" w:rsidRDefault="000529FB">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14:paraId="2785DDEB" w14:textId="77777777" w:rsidR="0053190E" w:rsidRDefault="000529FB">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559F4FF2" w14:textId="77777777" w:rsidR="0053190E" w:rsidRDefault="000529FB">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14:paraId="5BCACD01"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依照《信息披露办法》的有关规定在中国证监会规定媒介上公告</w:t>
      </w:r>
      <w:r>
        <w:rPr>
          <w:rFonts w:ascii="彩虹粗仿宋" w:eastAsia="彩虹粗仿宋" w:hAnsi="宋体" w:cs="Arial" w:hint="eastAsia"/>
          <w:sz w:val="24"/>
        </w:rPr>
        <w:t>。</w:t>
      </w:r>
    </w:p>
    <w:p w14:paraId="0E279441" w14:textId="77777777" w:rsidR="0053190E" w:rsidRDefault="000529FB" w:rsidP="0044518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1F6F42E1" w14:textId="77777777" w:rsidR="0053190E" w:rsidRDefault="000529FB" w:rsidP="0044518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0A656D3C" w14:textId="77777777" w:rsidR="0053190E" w:rsidRDefault="000529FB" w:rsidP="0044518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701C52D0"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09A1E25D" w14:textId="5E4F8E75"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（1）存款账户必须以本基金名义开立，并将基金托管人为本基金开立的基金托管资金账户指定为唯一回款账户，任何情况下，存款银行都不得将存款投资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14:paraId="186F161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w:t>
      </w:r>
      <w:r>
        <w:rPr>
          <w:rFonts w:ascii="彩虹粗仿宋" w:eastAsia="彩虹粗仿宋" w:hAnsi="宋体" w:cs="Arial" w:hint="eastAsia"/>
          <w:sz w:val="24"/>
        </w:rPr>
        <w:lastRenderedPageBreak/>
        <w:t>款进行更名、转让、挂失、质押、担保、撤销、变更印鉴及回款账户信息等可能导致财产转移的操作申请。</w:t>
      </w:r>
    </w:p>
    <w:p w14:paraId="78AF03E9"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6D35EB2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488ABAB0"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D28E07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或以双方认可的其他形式通知基金托管人，以便基金托管人有足够的时间履行相应的业务操作程序。因发生逾期支取、提前支取或部分提前支取，基金托管人不承担相应利息损失及逾期支取手续费。</w:t>
      </w:r>
    </w:p>
    <w:p w14:paraId="7437BF4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已移交基金托管人保管的存款开户证实书等实物凭证，基金托管人应确保安全保管；对未按约定将存款开户证实书等实物凭证移交托管人保管的，基金托管人应向基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托管行保管后解除。实物凭证未送达但存款本息已安全划回托管资金账户的，以及因发生特殊情况由管理人提供相关书面说明并重新承诺送单截止时间的，可剔除不计。</w:t>
      </w:r>
    </w:p>
    <w:p w14:paraId="4E782686" w14:textId="77777777" w:rsidR="0053190E" w:rsidRDefault="0053190E">
      <w:pPr>
        <w:adjustRightInd w:val="0"/>
        <w:snapToGrid w:val="0"/>
        <w:ind w:firstLineChars="200" w:firstLine="480"/>
        <w:rPr>
          <w:rFonts w:ascii="彩虹粗仿宋" w:eastAsia="彩虹粗仿宋" w:hAnsi="宋体" w:cs="Arial"/>
          <w:sz w:val="24"/>
        </w:rPr>
      </w:pPr>
    </w:p>
    <w:p w14:paraId="726ACEE0" w14:textId="77777777" w:rsidR="0053190E" w:rsidRDefault="000529FB">
      <w:pPr>
        <w:pStyle w:val="2"/>
        <w:jc w:val="center"/>
        <w:rPr>
          <w:rFonts w:ascii="彩虹粗仿宋" w:eastAsia="彩虹粗仿宋"/>
          <w:sz w:val="30"/>
        </w:rPr>
      </w:pPr>
      <w:bookmarkStart w:id="86" w:name="_Toc124325892"/>
      <w:r>
        <w:rPr>
          <w:rFonts w:ascii="彩虹粗仿宋" w:eastAsia="彩虹粗仿宋" w:hint="eastAsia"/>
          <w:sz w:val="30"/>
        </w:rPr>
        <w:t xml:space="preserve"> 八、基金资产净值计算和会计核算</w:t>
      </w:r>
      <w:bookmarkEnd w:id="86"/>
    </w:p>
    <w:p w14:paraId="068F4C4F"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426F199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基金负债后的价值。各类基金份额净值是按照每个工作日闭市后，该类基金资产净值除以当日该类基金份额的余额数量计算，均精确到0.0001元，小数点后第5位四舍五入。基金管理人可以设立大额赎回情形下的净值精度应急调整机制。国家另有规定的，从其规定。</w:t>
      </w:r>
    </w:p>
    <w:p w14:paraId="3B3573BF"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每个工作日计算基金资产净值及各类基金份额净值，并按规定公告。</w:t>
      </w:r>
    </w:p>
    <w:p w14:paraId="0CA6419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hint="eastAsia"/>
          <w:sz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612E806A" w14:textId="77777777" w:rsidR="0053190E" w:rsidRDefault="000529FB" w:rsidP="0044518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50013E7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5AC5706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基金所拥有的债券、国债期货合约、资产支持证券和银行存款本息、应收款项、其它投资等资产及负债。</w:t>
      </w:r>
    </w:p>
    <w:p w14:paraId="637538B1"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230CB70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39D5F0B1"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（1）固定收益品种的估值</w:t>
      </w:r>
    </w:p>
    <w:p w14:paraId="5F7F80C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1）对于已上市或已挂牌转让的不含</w:t>
      </w:r>
      <w:proofErr w:type="gramStart"/>
      <w:r>
        <w:rPr>
          <w:rFonts w:ascii="彩虹粗仿宋" w:eastAsia="彩虹粗仿宋" w:hAnsi="宋体" w:cs="Arial" w:hint="eastAsia"/>
          <w:sz w:val="24"/>
        </w:rPr>
        <w:t>权固定</w:t>
      </w:r>
      <w:proofErr w:type="gramEnd"/>
      <w:r>
        <w:rPr>
          <w:rFonts w:ascii="彩虹粗仿宋" w:eastAsia="彩虹粗仿宋" w:hAnsi="宋体" w:cs="Arial" w:hint="eastAsia"/>
          <w:sz w:val="24"/>
        </w:rPr>
        <w:t>收益品种（另有规定的除外），选取第三方估值基准服务机构提供的相应品种当日的估值全价进行估值。</w:t>
      </w:r>
    </w:p>
    <w:p w14:paraId="397C4143"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2）对于已上市或已挂牌转让的含</w:t>
      </w:r>
      <w:proofErr w:type="gramStart"/>
      <w:r>
        <w:rPr>
          <w:rFonts w:ascii="彩虹粗仿宋" w:eastAsia="彩虹粗仿宋" w:hAnsi="宋体" w:cs="Arial" w:hint="eastAsia"/>
          <w:sz w:val="24"/>
        </w:rPr>
        <w:t>权固定</w:t>
      </w:r>
      <w:proofErr w:type="gramEnd"/>
      <w:r>
        <w:rPr>
          <w:rFonts w:ascii="彩虹粗仿宋" w:eastAsia="彩虹粗仿宋" w:hAnsi="宋体" w:cs="Arial" w:hint="eastAsia"/>
          <w:sz w:val="24"/>
        </w:rPr>
        <w:t>收益品种（另有规定的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进行估值。同时应充分考虑发行人的信用风险变化对公允价值的影响。回售登记期截止日（含当日）后未行使回售权的按照长待偿期所对应的价格进行估值。</w:t>
      </w:r>
    </w:p>
    <w:p w14:paraId="6EE0818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3）对于未上市或未挂牌转让且不存在活跃市场的固定收益品种，采用在当前情况下适用并且有足够可利用数据和其他信息支持的估值技术确定其公允价值。</w:t>
      </w:r>
    </w:p>
    <w:p w14:paraId="112B341D" w14:textId="5268DF45" w:rsidR="0009497A" w:rsidRPr="0009497A" w:rsidRDefault="0009497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09497A">
        <w:rPr>
          <w:rFonts w:ascii="彩虹粗仿宋" w:eastAsia="彩虹粗仿宋" w:hAnsi="宋体" w:cs="Arial"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122B0186" w14:textId="289EB954"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09497A">
        <w:rPr>
          <w:rFonts w:ascii="彩虹粗仿宋" w:eastAsia="彩虹粗仿宋" w:hAnsi="宋体" w:cs="Arial"/>
          <w:sz w:val="24"/>
        </w:rPr>
        <w:t>3</w:t>
      </w:r>
      <w:r>
        <w:rPr>
          <w:rFonts w:ascii="彩虹粗仿宋" w:eastAsia="彩虹粗仿宋" w:hAnsi="宋体" w:cs="Arial" w:hint="eastAsia"/>
          <w:sz w:val="24"/>
        </w:rPr>
        <w:t>）同一债券同时在两个或两个以上市场交易的，按债券所处的市场分别估值。</w:t>
      </w:r>
    </w:p>
    <w:p w14:paraId="16E62263" w14:textId="53660EA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09497A">
        <w:rPr>
          <w:rFonts w:ascii="彩虹粗仿宋" w:eastAsia="彩虹粗仿宋" w:hAnsi="宋体" w:cs="Arial"/>
          <w:sz w:val="24"/>
        </w:rPr>
        <w:t>4</w:t>
      </w:r>
      <w:r>
        <w:rPr>
          <w:rFonts w:ascii="彩虹粗仿宋" w:eastAsia="彩虹粗仿宋" w:hAnsi="宋体" w:cs="Arial" w:hint="eastAsia"/>
          <w:sz w:val="24"/>
        </w:rPr>
        <w:t>）国债期货合约，以估值日结算价估值；估值日无结算价的，且最近交易日后经济环境未发生重大变化的，以最近交易日的结算价估值。</w:t>
      </w:r>
    </w:p>
    <w:p w14:paraId="15C1E5FE" w14:textId="5EE9D041"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09497A">
        <w:rPr>
          <w:rFonts w:ascii="彩虹粗仿宋" w:eastAsia="彩虹粗仿宋" w:hAnsi="宋体" w:cs="Arial"/>
          <w:sz w:val="24"/>
        </w:rPr>
        <w:t>5</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AA0F353" w14:textId="25D225E9"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09497A">
        <w:rPr>
          <w:rFonts w:ascii="彩虹粗仿宋" w:eastAsia="彩虹粗仿宋" w:hAnsi="宋体" w:cs="Arial"/>
          <w:sz w:val="24"/>
        </w:rPr>
        <w:t>6</w:t>
      </w:r>
      <w:r>
        <w:rPr>
          <w:rFonts w:ascii="彩虹粗仿宋" w:eastAsia="彩虹粗仿宋" w:hAnsi="宋体" w:cs="Arial" w:hint="eastAsia"/>
          <w:sz w:val="24"/>
        </w:rPr>
        <w:t>）当发生大额申购或赎回情形时，基金管理人可以采用摆动定价机制，以</w:t>
      </w:r>
      <w:r>
        <w:rPr>
          <w:rFonts w:ascii="彩虹粗仿宋" w:eastAsia="彩虹粗仿宋" w:hAnsi="宋体" w:cs="Arial" w:hint="eastAsia"/>
          <w:sz w:val="24"/>
        </w:rPr>
        <w:lastRenderedPageBreak/>
        <w:t>确保基金估值的公平性。</w:t>
      </w:r>
    </w:p>
    <w:p w14:paraId="1BA39DE2" w14:textId="03497A16"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09497A">
        <w:rPr>
          <w:rFonts w:ascii="彩虹粗仿宋" w:eastAsia="彩虹粗仿宋" w:hAnsi="宋体" w:cs="Arial"/>
          <w:sz w:val="24"/>
        </w:rPr>
        <w:t>7</w:t>
      </w:r>
      <w:r>
        <w:rPr>
          <w:rFonts w:ascii="彩虹粗仿宋" w:eastAsia="彩虹粗仿宋" w:hAnsi="宋体" w:cs="Arial" w:hint="eastAsia"/>
          <w:sz w:val="24"/>
        </w:rPr>
        <w:t>）相关法律法规以及监管部门、自律规则另有规定的，从其规定。如有新增事项，按国家最新规定估值。</w:t>
      </w:r>
    </w:p>
    <w:p w14:paraId="4A456383"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3077367" w14:textId="77777777" w:rsidR="0053190E" w:rsidRDefault="000529FB">
      <w:pPr>
        <w:adjustRightInd w:val="0"/>
        <w:snapToGrid w:val="0"/>
        <w:ind w:firstLineChars="200" w:firstLine="480"/>
        <w:rPr>
          <w:rFonts w:ascii="彩虹粗仿宋" w:eastAsia="彩虹粗仿宋"/>
          <w:sz w:val="24"/>
          <w:szCs w:val="21"/>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14:paraId="2FE315F4" w14:textId="77777777" w:rsidR="0053190E" w:rsidRDefault="000529FB">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3.特殊情形的处理</w:t>
      </w:r>
    </w:p>
    <w:p w14:paraId="35CDFBD2" w14:textId="33B117BF" w:rsidR="0053190E" w:rsidRDefault="000529FB">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w:t>
      </w:r>
      <w:r>
        <w:rPr>
          <w:rStyle w:val="read"/>
          <w:rFonts w:ascii="彩虹粗仿宋" w:eastAsia="彩虹粗仿宋" w:hAnsi="宋体" w:cs="Arial"/>
          <w:sz w:val="24"/>
        </w:rPr>
        <w:t>1)</w:t>
      </w:r>
      <w:r>
        <w:rPr>
          <w:rStyle w:val="read"/>
          <w:rFonts w:ascii="彩虹粗仿宋" w:eastAsia="彩虹粗仿宋" w:hAnsi="宋体" w:cs="Arial" w:hint="eastAsia"/>
          <w:sz w:val="24"/>
        </w:rPr>
        <w:t>基金管理人、基金托管人按估值方法的第(4)项进行估值时，所造成的误差不作为基金资产估值</w:t>
      </w:r>
      <w:r>
        <w:rPr>
          <w:rStyle w:val="read"/>
          <w:rFonts w:ascii="彩虹粗仿宋" w:eastAsia="彩虹粗仿宋" w:hint="eastAsia"/>
          <w:sz w:val="24"/>
        </w:rPr>
        <w:t>错误处理。</w:t>
      </w:r>
    </w:p>
    <w:p w14:paraId="3A427A63" w14:textId="77777777" w:rsidR="0053190E" w:rsidRDefault="000529F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w:t>
      </w:r>
      <w:r>
        <w:rPr>
          <w:rStyle w:val="read"/>
          <w:rFonts w:ascii="彩虹粗仿宋" w:eastAsia="彩虹粗仿宋"/>
          <w:sz w:val="24"/>
        </w:rPr>
        <w:t>2)</w:t>
      </w:r>
      <w:r>
        <w:rPr>
          <w:rFonts w:hint="eastAsia"/>
        </w:rPr>
        <w:t xml:space="preserve"> </w:t>
      </w:r>
      <w:r>
        <w:rPr>
          <w:rStyle w:val="read"/>
          <w:rFonts w:ascii="彩虹粗仿宋" w:eastAsia="彩虹粗仿宋" w:hint="eastAsia"/>
          <w:sz w:val="24"/>
        </w:rPr>
        <w:t>由于不可抗力原因，或由于证券/期货交易所、登记结算公司以及存款银行等第三方机构发送的数据错误、遗漏，或由于国家会计政策变更、市场规则变更等</w:t>
      </w:r>
      <w:proofErr w:type="gramStart"/>
      <w:r>
        <w:rPr>
          <w:rStyle w:val="read"/>
          <w:rFonts w:ascii="彩虹粗仿宋" w:eastAsia="彩虹粗仿宋" w:hint="eastAsia"/>
          <w:sz w:val="24"/>
        </w:rPr>
        <w:t>非基金</w:t>
      </w:r>
      <w:proofErr w:type="gramEnd"/>
      <w:r>
        <w:rPr>
          <w:rStyle w:val="read"/>
          <w:rFonts w:ascii="彩虹粗仿宋" w:eastAsia="彩虹粗仿宋" w:hint="eastAsia"/>
          <w:sz w:val="24"/>
        </w:rPr>
        <w:t>管理人与基金托管人原因，基金管理人和基金托管人虽然已经采取必要、适当、合理的措施进行检查，但是未能发现该错误、遗漏而造成的基金资产净值计算错误，基金管理人和基金托管人免除赔偿责任。但基金管理人、基金托管人应当积极采取必要的措施减轻或消除由此造成的影响。</w:t>
      </w:r>
    </w:p>
    <w:p w14:paraId="235DEC4D" w14:textId="77777777" w:rsidR="0053190E" w:rsidRDefault="000529F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653F129F" w14:textId="77777777" w:rsidR="0053190E" w:rsidRDefault="000529F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1.当任一类基金份额净值小数点后</w:t>
      </w:r>
      <w:r>
        <w:rPr>
          <w:rStyle w:val="read"/>
          <w:rFonts w:ascii="彩虹粗仿宋" w:eastAsia="彩虹粗仿宋"/>
          <w:sz w:val="24"/>
        </w:rPr>
        <w:t>4</w:t>
      </w:r>
      <w:r>
        <w:rPr>
          <w:rStyle w:val="read"/>
          <w:rFonts w:ascii="彩虹粗仿宋" w:eastAsia="彩虹粗仿宋" w:hint="eastAsia"/>
          <w:sz w:val="24"/>
        </w:rPr>
        <w:t>位以内(含第</w:t>
      </w:r>
      <w:r>
        <w:rPr>
          <w:rStyle w:val="read"/>
          <w:rFonts w:ascii="彩虹粗仿宋" w:eastAsia="彩虹粗仿宋"/>
          <w:sz w:val="24"/>
        </w:rPr>
        <w:t>4</w:t>
      </w:r>
      <w:r>
        <w:rPr>
          <w:rStyle w:val="read"/>
          <w:rFonts w:ascii="彩虹粗仿宋" w:eastAsia="彩虹粗仿宋" w:hint="eastAsia"/>
          <w:sz w:val="24"/>
        </w:rPr>
        <w:t>位)发生差错时，视为该类基金份额净值错误；任一类基金份额净值计算出现错误时，基金管理人应当立即予以纠正，通报基金托管人，并采取合理的措施防止损失进一步扩大；错误偏差达到该类基金份额净值的0.25%时，基金管理人应当通报基金托管人并报中国证监会备案</w:t>
      </w:r>
      <w:r>
        <w:rPr>
          <w:rFonts w:ascii="彩虹粗仿宋" w:eastAsia="彩虹粗仿宋" w:cs="Arial" w:hint="eastAsia"/>
          <w:sz w:val="24"/>
        </w:rPr>
        <w:t>；错误偏差达到</w:t>
      </w:r>
      <w:r>
        <w:rPr>
          <w:rStyle w:val="read"/>
          <w:rFonts w:ascii="彩虹粗仿宋" w:eastAsia="彩虹粗仿宋" w:hint="eastAsia"/>
          <w:sz w:val="24"/>
        </w:rPr>
        <w:t>该类</w:t>
      </w:r>
      <w:r>
        <w:rPr>
          <w:rFonts w:ascii="彩虹粗仿宋" w:eastAsia="彩虹粗仿宋" w:cs="Arial" w:hint="eastAsia"/>
          <w:sz w:val="24"/>
        </w:rPr>
        <w:t>基金份额净值的</w:t>
      </w:r>
      <w:r>
        <w:rPr>
          <w:rFonts w:ascii="彩虹粗仿宋" w:eastAsia="彩虹粗仿宋" w:hAnsi="宋体" w:hint="eastAsia"/>
          <w:sz w:val="24"/>
        </w:rPr>
        <w:t>0.5%时，基金管理人应当公告，并报中国证监会备案</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3FBA56FF" w14:textId="77777777" w:rsidR="0053190E" w:rsidRDefault="000529F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2.当任一类基金份额净值计算差错给基金和基金份额持有人造成损失需要进行赔偿时，基金管理人和基金托管人应根据实际情况界定双方承担的责任，经确认后按以下条款进行赔偿：</w:t>
      </w:r>
    </w:p>
    <w:p w14:paraId="6AA84A6D" w14:textId="77777777" w:rsidR="0053190E" w:rsidRDefault="000529FB">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Pr>
          <w:rStyle w:val="read"/>
          <w:rFonts w:ascii="彩虹粗仿宋" w:eastAsia="彩虹粗仿宋" w:hint="eastAsia"/>
          <w:sz w:val="24"/>
        </w:rPr>
        <w:lastRenderedPageBreak/>
        <w:t>由此给基金份额持有人和基金财产造成的</w:t>
      </w:r>
      <w:r>
        <w:rPr>
          <w:rFonts w:ascii="彩虹粗仿宋" w:eastAsia="彩虹粗仿宋" w:hAnsi="宋体" w:cs="Arial" w:hint="eastAsia"/>
          <w:sz w:val="24"/>
        </w:rPr>
        <w:t>损失，由基金管理人负责赔付。</w:t>
      </w:r>
    </w:p>
    <w:p w14:paraId="553C36FA" w14:textId="19D86923"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管理人计算的各类基金份额净值已由基金托管人复核确认后公告，而且基金托管人未对计算过程提出疑义或要求基金管理人书面说明，</w:t>
      </w:r>
      <w:r>
        <w:rPr>
          <w:rStyle w:val="read"/>
          <w:rFonts w:ascii="彩虹粗仿宋" w:eastAsia="彩虹粗仿宋" w:hint="eastAsia"/>
          <w:sz w:val="24"/>
        </w:rPr>
        <w:t>任一类</w:t>
      </w:r>
      <w:r>
        <w:rPr>
          <w:rFonts w:ascii="彩虹粗仿宋" w:eastAsia="彩虹粗仿宋" w:hint="eastAsia"/>
          <w:kern w:val="0"/>
          <w:sz w:val="24"/>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1A20861"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w:t>
      </w:r>
      <w:r>
        <w:rPr>
          <w:rStyle w:val="read"/>
          <w:rFonts w:ascii="彩虹粗仿宋" w:eastAsia="彩虹粗仿宋" w:hint="eastAsia"/>
          <w:sz w:val="24"/>
        </w:rPr>
        <w:t>任一类</w:t>
      </w:r>
      <w:r>
        <w:rPr>
          <w:rFonts w:ascii="彩虹粗仿宋" w:eastAsia="彩虹粗仿宋" w:hAnsi="宋体" w:cs="Arial" w:hint="eastAsia"/>
          <w:sz w:val="24"/>
        </w:rPr>
        <w:t>基金份额净值的计算结果，虽然多次重新计算和核对，尚不能达成一致时，为避免不能按时公布</w:t>
      </w:r>
      <w:r>
        <w:rPr>
          <w:rFonts w:ascii="彩虹粗仿宋" w:eastAsia="彩虹粗仿宋" w:hint="eastAsia"/>
          <w:kern w:val="0"/>
          <w:sz w:val="24"/>
        </w:rPr>
        <w:t>各类</w:t>
      </w:r>
      <w:r>
        <w:rPr>
          <w:rFonts w:ascii="彩虹粗仿宋" w:eastAsia="彩虹粗仿宋" w:hAnsi="宋体" w:cs="Arial" w:hint="eastAsia"/>
          <w:sz w:val="24"/>
        </w:rPr>
        <w:t>基金份额净值的情形，以基金管理人的计算结果对外公布，由此给基金份额持有人和基金造成的损失，由基金管理人负责赔付。</w:t>
      </w:r>
    </w:p>
    <w:p w14:paraId="40282E01"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由于基金管理人提供的信息错误（包括但不限于基金申购或赎回金额等），进而导致各类基金份额净值计算错误而引起的基金份额持有人和基金财产的损失，由基金管理人负责赔付。</w:t>
      </w:r>
    </w:p>
    <w:p w14:paraId="6079C21E"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14:paraId="3A18D17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14:paraId="65289087"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603D8420"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1.基金投资所涉及的证券/期货交易市场遇法定节假日或因其他原因暂停营业时；</w:t>
      </w:r>
    </w:p>
    <w:p w14:paraId="3302ADD8"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08D418BB"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3.当特定资产占前一估值日基金资产净值50%以上的，经与基金托管人协商确认后，基金管理人应当暂停估值；</w:t>
      </w:r>
    </w:p>
    <w:p w14:paraId="4BC56891"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4.法律法规、中国证监会和基金合同认定的其它情形。</w:t>
      </w:r>
    </w:p>
    <w:p w14:paraId="6F496A13"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14:paraId="6E774E3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720082CC"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14:paraId="18A6BED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4FF38216"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4BD2733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1.报表与报告的编制</w:t>
      </w:r>
    </w:p>
    <w:p w14:paraId="639BBE8E"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基金财务报表与报告由基金管理人编制，基金托管人复核。</w:t>
      </w:r>
    </w:p>
    <w:p w14:paraId="68EA2DCB"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合同》生效不足两个月的，基金管理人可以不编制当期季度报告、中期报告或者年度报告。</w:t>
      </w:r>
    </w:p>
    <w:p w14:paraId="7AEBA746" w14:textId="77777777" w:rsidR="0053190E" w:rsidRDefault="000529FB">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报表与报告的复核</w:t>
      </w:r>
    </w:p>
    <w:p w14:paraId="3D7D232A" w14:textId="77777777" w:rsidR="0053190E" w:rsidRDefault="000529F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与报告的编制，将有关报表与报告提供基金托管人复核。基金托管人在收到基金管理人编制的基金财务报表与报告后，进行独立的复核；核对不符时，应及时通知基金管理人共同查出原因，进行调整，调整以国家有关规定为准，直至双方数据完全一致。</w:t>
      </w:r>
    </w:p>
    <w:p w14:paraId="04BACA1E" w14:textId="7C5B40C1" w:rsidR="0053190E" w:rsidRDefault="000529F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基金管理人应留足充分的时间，便于基金托管人复核相关报表及报告。如果基金管理人与基金托管人不能</w:t>
      </w:r>
      <w:proofErr w:type="gramStart"/>
      <w:r>
        <w:rPr>
          <w:rFonts w:ascii="彩虹粗仿宋" w:eastAsia="彩虹粗仿宋" w:hAnsi="宋体" w:cs="Arial" w:hint="eastAsia"/>
          <w:sz w:val="24"/>
        </w:rPr>
        <w:t>于应当</w:t>
      </w:r>
      <w:proofErr w:type="gramEnd"/>
      <w:r>
        <w:rPr>
          <w:rFonts w:ascii="彩虹粗仿宋" w:eastAsia="彩虹粗仿宋" w:hAnsi="宋体" w:cs="Arial" w:hint="eastAsia"/>
          <w:sz w:val="24"/>
        </w:rPr>
        <w:t>发布公告之日之前就相关报表达成一致，基金管理人按照其编制的报表对外发布公告，基金托管人有权就相关情况报中国证监会备案。</w:t>
      </w:r>
    </w:p>
    <w:p w14:paraId="52AD8BBE" w14:textId="77777777" w:rsidR="0053190E" w:rsidRDefault="000529F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66D6DF6C" w14:textId="77777777" w:rsidR="0053190E" w:rsidRDefault="000529F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期间的基金资产估值</w:t>
      </w:r>
    </w:p>
    <w:p w14:paraId="5C46258C" w14:textId="77777777" w:rsidR="0053190E" w:rsidRDefault="000529F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的，应根据本部分的约定</w:t>
      </w:r>
      <w:proofErr w:type="gramStart"/>
      <w:r>
        <w:rPr>
          <w:rFonts w:ascii="彩虹粗仿宋" w:eastAsia="彩虹粗仿宋" w:hAnsi="宋体" w:cs="Arial" w:hint="eastAsia"/>
          <w:sz w:val="24"/>
        </w:rPr>
        <w:t>对主袋账户</w:t>
      </w:r>
      <w:proofErr w:type="gramEnd"/>
      <w:r>
        <w:rPr>
          <w:rFonts w:ascii="彩虹粗仿宋" w:eastAsia="彩虹粗仿宋" w:hAnsi="宋体" w:cs="Arial" w:hint="eastAsia"/>
          <w:sz w:val="24"/>
        </w:rPr>
        <w:t>资产进行估值并</w:t>
      </w:r>
      <w:proofErr w:type="gramStart"/>
      <w:r>
        <w:rPr>
          <w:rFonts w:ascii="彩虹粗仿宋" w:eastAsia="彩虹粗仿宋" w:hAnsi="宋体" w:cs="Arial" w:hint="eastAsia"/>
          <w:sz w:val="24"/>
        </w:rPr>
        <w:t>披露主袋账户</w:t>
      </w:r>
      <w:proofErr w:type="gramEnd"/>
      <w:r>
        <w:rPr>
          <w:rFonts w:ascii="彩虹粗仿宋" w:eastAsia="彩虹粗仿宋" w:hAnsi="宋体" w:cs="Arial" w:hint="eastAsia"/>
          <w:sz w:val="24"/>
        </w:rPr>
        <w:t>的基金净值信息，暂停</w:t>
      </w:r>
      <w:proofErr w:type="gramStart"/>
      <w:r>
        <w:rPr>
          <w:rFonts w:ascii="彩虹粗仿宋" w:eastAsia="彩虹粗仿宋" w:hAnsi="宋体" w:cs="Arial" w:hint="eastAsia"/>
          <w:sz w:val="24"/>
        </w:rPr>
        <w:t>披露侧袋账户</w:t>
      </w:r>
      <w:proofErr w:type="gramEnd"/>
      <w:r>
        <w:rPr>
          <w:rFonts w:ascii="彩虹粗仿宋" w:eastAsia="彩虹粗仿宋" w:hAnsi="宋体" w:cs="Arial" w:hint="eastAsia"/>
          <w:sz w:val="24"/>
        </w:rPr>
        <w:t>份额净值。</w:t>
      </w:r>
    </w:p>
    <w:p w14:paraId="0A1B5A9B" w14:textId="77777777" w:rsidR="0053190E" w:rsidRDefault="0053190E">
      <w:pPr>
        <w:pStyle w:val="a0"/>
        <w:adjustRightInd w:val="0"/>
        <w:snapToGrid w:val="0"/>
        <w:ind w:firstLineChars="0" w:firstLine="0"/>
        <w:rPr>
          <w:rFonts w:ascii="彩虹粗仿宋" w:eastAsia="彩虹粗仿宋" w:hAnsi="宋体" w:cs="Arial"/>
          <w:sz w:val="24"/>
        </w:rPr>
      </w:pPr>
    </w:p>
    <w:p w14:paraId="566FB19E" w14:textId="77777777" w:rsidR="0053190E" w:rsidRDefault="000529FB">
      <w:pPr>
        <w:pStyle w:val="2"/>
        <w:jc w:val="center"/>
        <w:rPr>
          <w:rFonts w:ascii="彩虹粗仿宋" w:eastAsia="彩虹粗仿宋"/>
          <w:sz w:val="30"/>
        </w:rPr>
      </w:pPr>
      <w:bookmarkStart w:id="87" w:name="_Toc124325893"/>
      <w:r>
        <w:rPr>
          <w:rFonts w:ascii="彩虹粗仿宋" w:eastAsia="彩虹粗仿宋" w:hint="eastAsia"/>
          <w:sz w:val="30"/>
        </w:rPr>
        <w:t>九、基金收益分配</w:t>
      </w:r>
      <w:bookmarkEnd w:id="87"/>
    </w:p>
    <w:p w14:paraId="15FDD4E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45DDD8AB"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14:paraId="6ACDF2C8"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79E7DA9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14:paraId="4EBAB1E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2.本基金收益分配方式分两种：现金分红与红利再投资，投资者可选择现金红利或将现金红利自动转为相应类别的基金份额进行再投资，红利再投资的基金份额的最短持有期到期日与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份额的最短持有期到期日保持一致；若投资者不选择，本基金默认的收益分配方式是现金分红；</w:t>
      </w:r>
    </w:p>
    <w:p w14:paraId="6B47779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3.基金收益分配后任一类基金份额净值不能低于面值，即基金收益分配基准日</w:t>
      </w:r>
      <w:r>
        <w:rPr>
          <w:rFonts w:ascii="彩虹粗仿宋" w:eastAsia="彩虹粗仿宋" w:hAnsi="宋体" w:cs="Arial" w:hint="eastAsia"/>
          <w:sz w:val="24"/>
        </w:rPr>
        <w:lastRenderedPageBreak/>
        <w:t>的任一类基金份额净值减去每单位该类基金份额收益分配金额后不能低于面值；</w:t>
      </w:r>
    </w:p>
    <w:p w14:paraId="2FC35D5B"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4.A类基金份额和C类基金份额之间由于A类基金份额不收取而C类基金份额收取销售服务费将导致在可供分配利润上有所不同；</w:t>
      </w:r>
    </w:p>
    <w:p w14:paraId="74E137CF"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5.同一类别的每一基金份额享有同等分配权；</w:t>
      </w:r>
    </w:p>
    <w:p w14:paraId="7F26F289"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6.法律法规或监管机关另有规定的，从其规定。</w:t>
      </w:r>
    </w:p>
    <w:p w14:paraId="1433792B"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在不违反法律法规且对基金份额持有人利益无实质性不利影响的前提下，基金管理人经与基金托管人协商一致后，可调整基金收益分配原则和支付方式，不需召开基金份额持有人大会。</w:t>
      </w:r>
    </w:p>
    <w:p w14:paraId="15BC22CB"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6D8F73C0"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在2日内在规定媒介公告。基金收益分配方案公告后(依据具体方案的规定)，基金管理人就支付的现金红利向基金托管人发送划款指令，基金托管人按照基金管理人的指令及时进行分红资金的划付。</w:t>
      </w:r>
    </w:p>
    <w:p w14:paraId="33587AD2"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46C9DAF"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期间的收益分配</w:t>
      </w:r>
    </w:p>
    <w:p w14:paraId="35EA22C8"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侧袋账户</w:t>
      </w:r>
      <w:proofErr w:type="gramEnd"/>
      <w:r>
        <w:rPr>
          <w:rFonts w:ascii="彩虹粗仿宋" w:eastAsia="彩虹粗仿宋" w:hAnsi="宋体" w:cs="Arial" w:hint="eastAsia"/>
          <w:sz w:val="24"/>
        </w:rPr>
        <w:t>不进行收益分配，详见招募说明书的规定。</w:t>
      </w:r>
    </w:p>
    <w:p w14:paraId="7245352F" w14:textId="77777777" w:rsidR="0053190E" w:rsidRDefault="0053190E">
      <w:pPr>
        <w:adjustRightInd w:val="0"/>
        <w:snapToGrid w:val="0"/>
        <w:rPr>
          <w:rFonts w:ascii="彩虹粗仿宋" w:eastAsia="彩虹粗仿宋" w:hAnsi="宋体" w:cs="Arial"/>
          <w:sz w:val="24"/>
        </w:rPr>
      </w:pPr>
    </w:p>
    <w:p w14:paraId="641646CE" w14:textId="77777777" w:rsidR="0053190E" w:rsidRDefault="000529FB">
      <w:pPr>
        <w:pStyle w:val="2"/>
        <w:jc w:val="center"/>
        <w:rPr>
          <w:rFonts w:ascii="彩虹粗仿宋" w:eastAsia="彩虹粗仿宋"/>
          <w:sz w:val="30"/>
        </w:rPr>
      </w:pPr>
      <w:bookmarkStart w:id="88" w:name="_Toc124325894"/>
      <w:r>
        <w:rPr>
          <w:rFonts w:ascii="彩虹粗仿宋" w:eastAsia="彩虹粗仿宋" w:hint="eastAsia"/>
          <w:sz w:val="30"/>
        </w:rPr>
        <w:t>十、基金信息披露</w:t>
      </w:r>
      <w:bookmarkEnd w:id="88"/>
    </w:p>
    <w:p w14:paraId="45A73B0E"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3B916958"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运作办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548325F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46545C2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D5F514E"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14:paraId="3CBEE5B8"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w:t>
      </w:r>
      <w:r>
        <w:rPr>
          <w:rFonts w:ascii="彩虹粗仿宋" w:eastAsia="彩虹粗仿宋" w:hAnsi="宋体" w:cs="Arial" w:hint="eastAsia"/>
          <w:sz w:val="24"/>
        </w:rPr>
        <w:lastRenderedPageBreak/>
        <w:t>产品资料概要、基金份额发售公告、《基金合同》生效公告、基金净值信息、基金份额申购、赎回价格、基金定期报告（包括基金年度报告、基金中期报告和基金季度报告）、临时报告、澄清公告、基金份额持有人大会决议、清算报告、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期间的信息披露及中国证监会规定的其他信息。基金年度报告中的财务会计报告需</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《中华人民共和国证券法》规定的会计师事务所审计后，方可披露。</w:t>
      </w:r>
    </w:p>
    <w:p w14:paraId="027F8928"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71BD77AE"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0CA5383E"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96B477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63A168C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423CD41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32A1224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6AAC4F1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F63DF2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(2)基金投资所涉及的证券/期货交易市场遇法定节假日或因其他原因暂停营业时；</w:t>
      </w:r>
    </w:p>
    <w:p w14:paraId="6574D04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(3)出现基金合同约定的暂停估值情形；</w:t>
      </w:r>
    </w:p>
    <w:p w14:paraId="4D67306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(4)法律法规、《基金合同》或中国证监会规定的情况。</w:t>
      </w:r>
    </w:p>
    <w:p w14:paraId="0AB8958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664CC85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AAE6DD9"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00B8F92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公司住所，以供社会公众查阅、复制。投资者在支付工本费后可在合理时间获得上述文件的复制件或复印件。基金管理人和基金托管人应保证文本的内容与所公告的内容完全一致。</w:t>
      </w:r>
    </w:p>
    <w:p w14:paraId="533BD09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w:t>
      </w:r>
    </w:p>
    <w:p w14:paraId="38BD44B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的，相关信息披露义务人应当根据法律法规、基金合同和招募说明书的规定进行信息披露，详见招募说明书的规定。</w:t>
      </w:r>
    </w:p>
    <w:p w14:paraId="5002C17A" w14:textId="77777777" w:rsidR="0053190E" w:rsidRDefault="000529FB" w:rsidP="0044518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（五）法律法规或监管部门对适用于本基金的信息披露另有规定的，从其规定。如规定发生变化的，从其最新规定。</w:t>
      </w:r>
    </w:p>
    <w:p w14:paraId="717612A3" w14:textId="77777777" w:rsidR="0053190E" w:rsidRDefault="0053190E">
      <w:pPr>
        <w:adjustRightInd w:val="0"/>
        <w:snapToGrid w:val="0"/>
        <w:ind w:firstLineChars="200" w:firstLine="480"/>
        <w:rPr>
          <w:rFonts w:ascii="彩虹粗仿宋" w:eastAsia="彩虹粗仿宋" w:hAnsi="宋体" w:cs="Arial"/>
          <w:sz w:val="24"/>
        </w:rPr>
      </w:pPr>
    </w:p>
    <w:p w14:paraId="59B5EA27" w14:textId="77777777" w:rsidR="0053190E" w:rsidRDefault="000529FB">
      <w:pPr>
        <w:pStyle w:val="2"/>
        <w:jc w:val="center"/>
        <w:rPr>
          <w:rFonts w:ascii="彩虹粗仿宋" w:eastAsia="彩虹粗仿宋"/>
          <w:sz w:val="30"/>
        </w:rPr>
      </w:pPr>
      <w:bookmarkStart w:id="89" w:name="_Toc124325895"/>
      <w:r>
        <w:rPr>
          <w:rFonts w:ascii="彩虹粗仿宋" w:eastAsia="彩虹粗仿宋" w:hint="eastAsia"/>
          <w:sz w:val="30"/>
        </w:rPr>
        <w:t>十一、基金费用</w:t>
      </w:r>
      <w:bookmarkEnd w:id="89"/>
    </w:p>
    <w:p w14:paraId="32E4CC9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0E8957FC" w14:textId="1E4616D1"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w:t>
      </w:r>
      <w:r>
        <w:rPr>
          <w:rFonts w:ascii="彩虹粗仿宋" w:eastAsia="彩虹粗仿宋" w:hAnsi="宋体" w:cs="Arial"/>
          <w:sz w:val="24"/>
        </w:rPr>
        <w:t>0.20</w:t>
      </w:r>
      <w:r>
        <w:rPr>
          <w:rFonts w:ascii="彩虹粗仿宋" w:eastAsia="彩虹粗仿宋" w:hAnsi="宋体" w:cs="Arial" w:hint="eastAsia"/>
          <w:sz w:val="24"/>
        </w:rPr>
        <w:t>%年费率计提。管理费的计算方法如下：</w:t>
      </w:r>
    </w:p>
    <w:p w14:paraId="46010895" w14:textId="01E62520"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w:t>
      </w:r>
      <w:r>
        <w:rPr>
          <w:rFonts w:ascii="彩虹粗仿宋" w:eastAsia="彩虹粗仿宋" w:hAnsi="宋体" w:cs="Arial"/>
          <w:sz w:val="24"/>
        </w:rPr>
        <w:t>0.20%</w:t>
      </w:r>
      <w:r>
        <w:rPr>
          <w:rFonts w:ascii="彩虹粗仿宋" w:eastAsia="彩虹粗仿宋" w:hAnsi="宋体" w:cs="Arial" w:hint="eastAsia"/>
          <w:sz w:val="24"/>
        </w:rPr>
        <w:t>÷当年天数</w:t>
      </w:r>
    </w:p>
    <w:p w14:paraId="30B3122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60CC035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0DA9CC2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460A6F1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w:t>
      </w:r>
      <w:r>
        <w:rPr>
          <w:rFonts w:ascii="彩虹粗仿宋" w:eastAsia="彩虹粗仿宋" w:hAnsi="宋体" w:cs="Arial"/>
          <w:sz w:val="24"/>
        </w:rPr>
        <w:t>10</w:t>
      </w:r>
      <w:r>
        <w:rPr>
          <w:rFonts w:ascii="彩虹粗仿宋" w:eastAsia="彩虹粗仿宋" w:hAnsi="宋体" w:cs="Arial" w:hint="eastAsia"/>
          <w:sz w:val="24"/>
        </w:rPr>
        <w:t>%年费率计提。托管费的计算方法如下：</w:t>
      </w:r>
    </w:p>
    <w:p w14:paraId="19551E5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w:t>
      </w:r>
      <w:r>
        <w:rPr>
          <w:rFonts w:ascii="彩虹粗仿宋" w:eastAsia="彩虹粗仿宋" w:hAnsi="宋体" w:cs="Arial"/>
          <w:sz w:val="24"/>
        </w:rPr>
        <w:t>10</w:t>
      </w:r>
      <w:r>
        <w:rPr>
          <w:rFonts w:ascii="彩虹粗仿宋" w:eastAsia="彩虹粗仿宋" w:hAnsi="宋体" w:cs="Arial" w:hint="eastAsia"/>
          <w:sz w:val="24"/>
        </w:rPr>
        <w:t>%÷当年天数</w:t>
      </w:r>
    </w:p>
    <w:p w14:paraId="717A175E"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73DF659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5C490FD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（三）销售服务费的计提比例和计提方法</w:t>
      </w:r>
    </w:p>
    <w:p w14:paraId="79F0CD8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本基金A类基金份额不收取销售服务费，C类基金份额的销售服务费年费率为0.</w:t>
      </w:r>
      <w:r>
        <w:rPr>
          <w:rFonts w:ascii="彩虹粗仿宋" w:eastAsia="彩虹粗仿宋" w:hAnsi="宋体" w:cs="Arial"/>
          <w:sz w:val="24"/>
        </w:rPr>
        <w:t>20</w:t>
      </w:r>
      <w:r>
        <w:rPr>
          <w:rFonts w:ascii="彩虹粗仿宋" w:eastAsia="彩虹粗仿宋" w:hAnsi="宋体" w:cs="Arial" w:hint="eastAsia"/>
          <w:sz w:val="24"/>
        </w:rPr>
        <w:t>%。本基金销售服务费将专门用于本基金的销售与基金份额持有人服务，基金管理人将在基金年度报告中对该项费用的列支情况作专项说明。销售服务费计提的计算公式如下：</w:t>
      </w:r>
    </w:p>
    <w:p w14:paraId="2609462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w:t>
      </w:r>
      <w:r>
        <w:rPr>
          <w:rFonts w:ascii="彩虹粗仿宋" w:eastAsia="彩虹粗仿宋" w:hAnsi="宋体" w:cs="Arial"/>
          <w:sz w:val="24"/>
        </w:rPr>
        <w:t>20</w:t>
      </w:r>
      <w:r>
        <w:rPr>
          <w:rFonts w:ascii="彩虹粗仿宋" w:eastAsia="彩虹粗仿宋" w:hAnsi="宋体" w:cs="Arial" w:hint="eastAsia"/>
          <w:sz w:val="24"/>
        </w:rPr>
        <w:t>%÷当年天数</w:t>
      </w:r>
    </w:p>
    <w:p w14:paraId="4CD604B0"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H为C类基金份额每日应计提的销售服务费</w:t>
      </w:r>
    </w:p>
    <w:p w14:paraId="497EB3B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E为C类基金份额前一日的基金资产净值</w:t>
      </w:r>
    </w:p>
    <w:p w14:paraId="1CC092C0"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基金合同》生效后与基金相关的信息披露费用、《基金合同》生效后与基金相关的会计师费、律师费、仲裁费、诉讼费、公证费、基金份额持有人大会费用、基金的证券/期货等交易费用、基金的银行汇划费用、基金相关账户的开户费用及维护费用等根据有关法律法规、《基金合同》及相应协议的规定，列入当期基金费用。</w:t>
      </w:r>
    </w:p>
    <w:p w14:paraId="22CA967C"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（五）不列入基金费用的项目</w:t>
      </w:r>
    </w:p>
    <w:p w14:paraId="50FBD881"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合同》生效前的律师费、会计师费和信息披露费用等相关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68ADB550"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（六）基金管理费、基金托管费和销售服务费的调整</w:t>
      </w:r>
    </w:p>
    <w:p w14:paraId="6B119FD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基金管理人和基金托管人可协商酌情降低基金管理费、基金托管费和销售服务费，基金管理人必须最迟于新的费率实施日2日前在规定媒介上刊登公告。</w:t>
      </w:r>
    </w:p>
    <w:p w14:paraId="1E2DFCE2"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（七）基金管理费、基金托管费和销售服务费的复核程序、支付方式和时间</w:t>
      </w:r>
    </w:p>
    <w:p w14:paraId="654B34A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112FE09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14:paraId="74C8706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488CEDF1"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基金管理费、基金托管费和销售服务费每日计提，按月支付。由基金托管人根据与基金管理人核对一致的财务数据，自动在月初5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61911E2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在首期支付基金管理费和销售服务费前，基金管理人应向托管人出具正式函件指定基金管理费和销售服务费的收款账户。基金管理人如需要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账户，应提前5个工作日向基金托管人出具书面的收款账户变更通知。</w:t>
      </w:r>
    </w:p>
    <w:p w14:paraId="173F863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（八）违规处理方式</w:t>
      </w:r>
    </w:p>
    <w:p w14:paraId="7B0C5B4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但应及时通知基金管理人。</w:t>
      </w:r>
    </w:p>
    <w:p w14:paraId="241652D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期间的基金费用</w:t>
      </w:r>
    </w:p>
    <w:p w14:paraId="0775B83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与侧袋账户</w:t>
      </w:r>
      <w:proofErr w:type="gramEnd"/>
      <w:r>
        <w:rPr>
          <w:rFonts w:ascii="彩虹粗仿宋" w:eastAsia="彩虹粗仿宋" w:hAnsi="宋体" w:cs="Arial" w:hint="eastAsia"/>
          <w:sz w:val="24"/>
        </w:rPr>
        <w:t>有关的费用可以</w:t>
      </w:r>
      <w:proofErr w:type="gramStart"/>
      <w:r>
        <w:rPr>
          <w:rFonts w:ascii="彩虹粗仿宋" w:eastAsia="彩虹粗仿宋" w:hAnsi="宋体" w:cs="Arial" w:hint="eastAsia"/>
          <w:sz w:val="24"/>
        </w:rPr>
        <w:t>从侧袋账户</w:t>
      </w:r>
      <w:proofErr w:type="gramEnd"/>
      <w:r>
        <w:rPr>
          <w:rFonts w:ascii="彩虹粗仿宋" w:eastAsia="彩虹粗仿宋" w:hAnsi="宋体" w:cs="Arial" w:hint="eastAsia"/>
          <w:sz w:val="24"/>
        </w:rPr>
        <w:t>中列支，但应</w:t>
      </w:r>
      <w:proofErr w:type="gramStart"/>
      <w:r>
        <w:rPr>
          <w:rFonts w:ascii="彩虹粗仿宋" w:eastAsia="彩虹粗仿宋" w:hAnsi="宋体" w:cs="Arial" w:hint="eastAsia"/>
          <w:sz w:val="24"/>
        </w:rPr>
        <w:t>待侧袋</w:t>
      </w:r>
      <w:proofErr w:type="gramEnd"/>
      <w:r>
        <w:rPr>
          <w:rFonts w:ascii="彩虹粗仿宋" w:eastAsia="彩虹粗仿宋" w:hAnsi="宋体" w:cs="Arial" w:hint="eastAsia"/>
          <w:sz w:val="24"/>
        </w:rPr>
        <w:t>账户资产变现后方可列支，有关费用可酌情收取或减免，但不得收取管理费，详见招募说明书的规定或相关公告。</w:t>
      </w:r>
    </w:p>
    <w:p w14:paraId="4A29A85E" w14:textId="77777777" w:rsidR="0053190E" w:rsidRDefault="0053190E">
      <w:pPr>
        <w:adjustRightInd w:val="0"/>
        <w:snapToGrid w:val="0"/>
        <w:rPr>
          <w:rFonts w:ascii="彩虹粗仿宋" w:eastAsia="彩虹粗仿宋" w:hAnsi="宋体" w:cs="Arial"/>
          <w:sz w:val="24"/>
        </w:rPr>
      </w:pPr>
    </w:p>
    <w:p w14:paraId="3B2CFE6F" w14:textId="77777777" w:rsidR="0053190E" w:rsidRDefault="000529FB">
      <w:pPr>
        <w:pStyle w:val="2"/>
        <w:jc w:val="center"/>
        <w:rPr>
          <w:rFonts w:ascii="彩虹粗仿宋" w:eastAsia="彩虹粗仿宋"/>
          <w:sz w:val="30"/>
        </w:rPr>
      </w:pPr>
      <w:bookmarkStart w:id="90" w:name="_Toc124325896"/>
      <w:r>
        <w:rPr>
          <w:rFonts w:ascii="彩虹粗仿宋" w:eastAsia="彩虹粗仿宋" w:hint="eastAsia"/>
          <w:sz w:val="30"/>
        </w:rPr>
        <w:t>十二、基金份额持有人名册的保管</w:t>
      </w:r>
      <w:bookmarkEnd w:id="90"/>
    </w:p>
    <w:p w14:paraId="4829AB7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w:t>
      </w:r>
      <w:r>
        <w:rPr>
          <w:rFonts w:ascii="彩虹粗仿宋" w:eastAsia="彩虹粗仿宋" w:hAnsi="宋体" w:cs="Arial" w:hint="eastAsia"/>
          <w:sz w:val="24"/>
        </w:rPr>
        <w:lastRenderedPageBreak/>
        <w:t>理人和基金托管人应分别保管基金份额持有人名册，保存期限不少于法律法规的规定。如不能妥善保管，则按相关法规承担责任。</w:t>
      </w:r>
    </w:p>
    <w:p w14:paraId="01A39E1F"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7CF5ACFA" w14:textId="77777777" w:rsidR="0053190E" w:rsidRDefault="0053190E">
      <w:pPr>
        <w:adjustRightInd w:val="0"/>
        <w:snapToGrid w:val="0"/>
        <w:rPr>
          <w:rFonts w:ascii="彩虹粗仿宋" w:eastAsia="彩虹粗仿宋" w:hAnsi="宋体" w:cs="Arial"/>
          <w:sz w:val="24"/>
        </w:rPr>
      </w:pPr>
    </w:p>
    <w:p w14:paraId="77F9E8FB" w14:textId="77777777" w:rsidR="0053190E" w:rsidRDefault="000529FB">
      <w:pPr>
        <w:pStyle w:val="2"/>
        <w:jc w:val="center"/>
        <w:rPr>
          <w:rFonts w:ascii="彩虹粗仿宋" w:eastAsia="彩虹粗仿宋"/>
          <w:sz w:val="30"/>
        </w:rPr>
      </w:pPr>
      <w:bookmarkStart w:id="91" w:name="_Toc124325897"/>
      <w:r>
        <w:rPr>
          <w:rFonts w:ascii="彩虹粗仿宋" w:eastAsia="彩虹粗仿宋" w:hint="eastAsia"/>
          <w:sz w:val="30"/>
        </w:rPr>
        <w:t>十三、基金有关文件档案的保存</w:t>
      </w:r>
      <w:bookmarkEnd w:id="91"/>
    </w:p>
    <w:p w14:paraId="496BDBCB"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49DBE94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保管。保存期限不少于法律法规的规定。</w:t>
      </w:r>
    </w:p>
    <w:p w14:paraId="1490AC79"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0D355E79"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53760A7E"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727D6900"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50320E0C" w14:textId="77777777" w:rsidR="0053190E" w:rsidRDefault="000529FB">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14:paraId="2B51D5A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（四）基金管理人和基金托管人应按各自职责完整保存原始凭证、记账凭证、基金账册、交易记录和重要合同等，承担保密义务并保存，保存期限不少于法律法规的规定。</w:t>
      </w:r>
    </w:p>
    <w:p w14:paraId="7D7F163A" w14:textId="77777777" w:rsidR="0053190E" w:rsidRDefault="0053190E">
      <w:pPr>
        <w:adjustRightInd w:val="0"/>
        <w:snapToGrid w:val="0"/>
        <w:rPr>
          <w:rFonts w:ascii="彩虹粗仿宋" w:eastAsia="彩虹粗仿宋"/>
          <w:sz w:val="30"/>
          <w:szCs w:val="30"/>
        </w:rPr>
      </w:pPr>
    </w:p>
    <w:p w14:paraId="0F849ABF" w14:textId="77777777" w:rsidR="0053190E" w:rsidRDefault="000529FB">
      <w:pPr>
        <w:pStyle w:val="2"/>
        <w:jc w:val="center"/>
        <w:rPr>
          <w:rFonts w:ascii="彩虹粗仿宋" w:eastAsia="彩虹粗仿宋"/>
          <w:sz w:val="30"/>
        </w:rPr>
      </w:pPr>
      <w:bookmarkStart w:id="92" w:name="_Toc124325898"/>
      <w:r>
        <w:rPr>
          <w:rFonts w:ascii="彩虹粗仿宋" w:eastAsia="彩虹粗仿宋" w:hint="eastAsia"/>
          <w:sz w:val="30"/>
        </w:rPr>
        <w:t>十四、基金管理人和基金托管人的更换</w:t>
      </w:r>
      <w:bookmarkEnd w:id="92"/>
    </w:p>
    <w:p w14:paraId="6D31459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164862AB"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71FDEA4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35125DF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1CAADBF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61C55E68"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6BC3A72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(4)法律法规及中国证监会规定的和《基金合同》约定的其他情形。</w:t>
      </w:r>
    </w:p>
    <w:p w14:paraId="4BF0682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60D93421"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w:t>
      </w:r>
      <w:r>
        <w:rPr>
          <w:rFonts w:ascii="彩虹粗仿宋" w:eastAsia="彩虹粗仿宋" w:hAnsi="宋体" w:cs="Arial" w:hint="eastAsia"/>
          <w:sz w:val="24"/>
        </w:rPr>
        <w:t>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管理人由基金托管人或由单独或合计持有10%以上（含10%）基金份额的基金份额持有人提名；</w:t>
      </w:r>
    </w:p>
    <w:p w14:paraId="07B1AF28"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46994AD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14:paraId="01D96551"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备案：基金份额持有人大会更换基金管理人的决议须报中国证监会备案；</w:t>
      </w:r>
    </w:p>
    <w:p w14:paraId="0C1078EB"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公告：基金管理人更换后，由基金托管人在更换基金管理人的基金份额持有人大会决议生效后2日内在规定媒介公告；</w:t>
      </w:r>
    </w:p>
    <w:p w14:paraId="6EFB947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w:t>
      </w:r>
      <w:r>
        <w:rPr>
          <w:rFonts w:ascii="彩虹粗仿宋" w:eastAsia="彩虹粗仿宋" w:hAnsi="宋体" w:cs="Arial" w:hint="eastAsia"/>
          <w:sz w:val="24"/>
        </w:rPr>
        <w:t>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管理人应与基金托管人核对基金资产总值和基金资产净值；</w:t>
      </w:r>
    </w:p>
    <w:p w14:paraId="447B291B"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w:t>
      </w:r>
      <w:r>
        <w:rPr>
          <w:rFonts w:ascii="彩虹粗仿宋" w:eastAsia="彩虹粗仿宋" w:hAnsi="宋体" w:cs="Arial" w:hint="eastAsia"/>
          <w:sz w:val="24"/>
        </w:rPr>
        <w:t>审计：基金管理人职责终止的，应当按照法律法规规定聘请会计师事务所对基金财产进行审计，并将审计结果予以公告，同时报中国证监会备案，审计费用从基金财产中列支；</w:t>
      </w:r>
    </w:p>
    <w:p w14:paraId="43E4CEFE" w14:textId="77777777" w:rsidR="0053190E" w:rsidRDefault="000529FB">
      <w:pPr>
        <w:adjustRightInd w:val="0"/>
        <w:snapToGrid w:val="0"/>
        <w:ind w:firstLineChars="200" w:firstLine="480"/>
        <w:rPr>
          <w:rFonts w:ascii="彩虹粗仿宋" w:eastAsia="彩虹粗仿宋"/>
          <w:sz w:val="30"/>
          <w:szCs w:val="30"/>
        </w:rPr>
      </w:pPr>
      <w:r>
        <w:rPr>
          <w:rFonts w:ascii="彩虹粗仿宋" w:eastAsia="彩虹粗仿宋" w:hAnsi="宋体" w:cs="Arial"/>
          <w:sz w:val="24"/>
        </w:rPr>
        <w:t>(8)</w:t>
      </w:r>
      <w:r>
        <w:rPr>
          <w:rFonts w:ascii="彩虹粗仿宋" w:eastAsia="彩虹粗仿宋" w:hAnsi="宋体" w:cs="Arial" w:hint="eastAsia"/>
          <w:sz w:val="24"/>
        </w:rPr>
        <w:t>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管理人要求，应按其要求替换或删除基金名称中与原任基金管理人有关的名称字样。</w:t>
      </w:r>
    </w:p>
    <w:p w14:paraId="3BE5CC7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79E234D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76130C9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53D755C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0702611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0152EF1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65AA3EDB"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4F3A560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0C0393F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托管人由基金管理人或由单独或合计持有10%以上（含10%）基金份额的基金份额持有人提名；</w:t>
      </w:r>
    </w:p>
    <w:p w14:paraId="004FB4B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0CD45F0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lastRenderedPageBreak/>
        <w:t>(3)</w:t>
      </w:r>
      <w:r>
        <w:rPr>
          <w:rFonts w:ascii="彩虹粗仿宋" w:eastAsia="彩虹粗仿宋" w:hAnsi="宋体" w:cs="Arial" w:hint="eastAsia"/>
          <w:sz w:val="24"/>
        </w:rPr>
        <w:t>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14:paraId="4A4DFF6F"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备案：基金份额持有人大会更换基金托管人的决议须报中国证监会备案；</w:t>
      </w:r>
    </w:p>
    <w:p w14:paraId="2D4D2B8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公告：基金托管人更换后，由基金管理人在更换基金托管人的基金份额持有人大会决议生效后2日内在规定媒介公告；</w:t>
      </w:r>
    </w:p>
    <w:p w14:paraId="048B4E9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w:t>
      </w:r>
      <w:r>
        <w:rPr>
          <w:rFonts w:ascii="彩虹粗仿宋" w:eastAsia="彩虹粗仿宋" w:hAnsi="宋体" w:cs="Arial" w:hint="eastAsia"/>
          <w:sz w:val="24"/>
        </w:rPr>
        <w:t>交接：基金托管人职责终止的，应当妥善保管基金财产和基金托管业务资料，及时办理基金财产和基金托管业务的移交手续，临时基金托管人或者</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托管人应当及时接收。临时基金托管人或者</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托管人与基金管理人核对基金资产总值和基金资产净值；</w:t>
      </w:r>
    </w:p>
    <w:p w14:paraId="6F52659F"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w:t>
      </w:r>
      <w:r>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审计：基金托管人职责终止的，应当按照法律法规规定聘请会计师事务所对基金财产进行审计，并将审计结果予以公告，同时报中国证监会备案，审计费用从基金财产中列支。</w:t>
      </w:r>
    </w:p>
    <w:p w14:paraId="4711672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01AEBCF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7938D3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629C859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托管人应在更换基金管理人和基金托管人的基金份额持有人大会决议生效后2日内在规定媒介上联合公告。</w:t>
      </w:r>
    </w:p>
    <w:p w14:paraId="29BECFB3"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管理人接收基金管理业务或临时基金托管人或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的规定收取基金管理费或基金托管费。</w:t>
      </w:r>
    </w:p>
    <w:p w14:paraId="1832BC94"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（五）本部</w:t>
      </w:r>
      <w:proofErr w:type="gramStart"/>
      <w:r>
        <w:rPr>
          <w:rFonts w:ascii="彩虹粗仿宋" w:eastAsia="彩虹粗仿宋" w:hAnsi="宋体" w:cs="Arial" w:hint="eastAsia"/>
          <w:sz w:val="24"/>
        </w:rPr>
        <w:t>分关于</w:t>
      </w:r>
      <w:proofErr w:type="gramEnd"/>
      <w:r>
        <w:rPr>
          <w:rFonts w:ascii="彩虹粗仿宋" w:eastAsia="彩虹粗仿宋" w:hAnsi="宋体" w:cs="Arial" w:hint="eastAsia"/>
          <w:sz w:val="24"/>
        </w:rPr>
        <w:t>基金管理人、基金托管人更换条件和程序的约定，凡是直接引用法律法规或监管规则的部分，如法律法规或监管规则修改导致相关内容被取消或变更的，基金管理人与基金托管人协商一致并公告后，可直接对相应内容进行修改和调整，无需召开基金份额持有人大会审议。</w:t>
      </w:r>
    </w:p>
    <w:p w14:paraId="6D79363B" w14:textId="77777777" w:rsidR="0053190E" w:rsidRDefault="0053190E">
      <w:pPr>
        <w:adjustRightInd w:val="0"/>
        <w:snapToGrid w:val="0"/>
        <w:rPr>
          <w:rFonts w:ascii="彩虹粗仿宋" w:eastAsia="彩虹粗仿宋" w:hAnsi="宋体" w:cs="Arial"/>
          <w:sz w:val="24"/>
        </w:rPr>
      </w:pPr>
    </w:p>
    <w:p w14:paraId="5E2265AD" w14:textId="77777777" w:rsidR="0053190E" w:rsidRDefault="000529FB">
      <w:pPr>
        <w:pStyle w:val="2"/>
        <w:jc w:val="center"/>
        <w:rPr>
          <w:rFonts w:ascii="彩虹粗仿宋" w:eastAsia="彩虹粗仿宋"/>
          <w:sz w:val="30"/>
        </w:rPr>
      </w:pPr>
      <w:bookmarkStart w:id="93" w:name="_Toc124325899"/>
      <w:r>
        <w:rPr>
          <w:rFonts w:ascii="彩虹粗仿宋" w:eastAsia="彩虹粗仿宋" w:hint="eastAsia"/>
          <w:sz w:val="30"/>
        </w:rPr>
        <w:t>十五、禁止行为</w:t>
      </w:r>
      <w:bookmarkEnd w:id="93"/>
    </w:p>
    <w:p w14:paraId="68A37B9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62C8E5E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5027F860"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（二）基金管理人不公平地对待其管理的不同基金财产，基金托管人不公平地对待其托管的不同基金财产。</w:t>
      </w:r>
    </w:p>
    <w:p w14:paraId="28705C9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（三）基金管理人、基金托管人利用基金财产或职务之便为基金份额持有人以外的第三人牟取利益。</w:t>
      </w:r>
    </w:p>
    <w:p w14:paraId="799C949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06FC9A1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（五）基金管理人、基金托管人对他人泄露基金运作和管理过程中任何尚未按法律法规规定的方式公开披露的信息。</w:t>
      </w:r>
    </w:p>
    <w:p w14:paraId="23AFC09E" w14:textId="77777777" w:rsidR="0053190E" w:rsidRDefault="000529FB">
      <w:pPr>
        <w:adjustRightInd w:val="0"/>
        <w:snapToGrid w:val="0"/>
        <w:ind w:firstLineChars="200" w:firstLine="480"/>
        <w:outlineLvl w:val="0"/>
        <w:rPr>
          <w:rFonts w:ascii="彩虹粗仿宋" w:eastAsia="彩虹粗仿宋" w:hAnsi="宋体" w:cs="Arial"/>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287D2E9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14:paraId="65710B61"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3CCE6EBE"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w:t>
      </w:r>
      <w:r>
        <w:rPr>
          <w:rFonts w:ascii="彩虹粗仿宋" w:eastAsia="彩虹粗仿宋" w:hAnsi="宋体" w:cs="Arial"/>
          <w:sz w:val="24"/>
        </w:rPr>
        <w:t>1.</w:t>
      </w:r>
      <w:r>
        <w:rPr>
          <w:rFonts w:ascii="彩虹粗仿宋" w:eastAsia="彩虹粗仿宋" w:hAnsi="宋体" w:cs="Arial" w:hint="eastAsia"/>
          <w:sz w:val="24"/>
        </w:rPr>
        <w:t>承销证券；</w:t>
      </w:r>
      <w:r>
        <w:rPr>
          <w:rFonts w:ascii="彩虹粗仿宋" w:eastAsia="彩虹粗仿宋" w:hAnsi="宋体" w:cs="Arial"/>
          <w:sz w:val="24"/>
        </w:rPr>
        <w:t>2.</w:t>
      </w:r>
      <w:r>
        <w:rPr>
          <w:rFonts w:ascii="彩虹粗仿宋" w:eastAsia="彩虹粗仿宋" w:hAnsi="宋体" w:cs="Arial" w:hint="eastAsia"/>
          <w:sz w:val="24"/>
        </w:rPr>
        <w:t>违反规定向他人贷款或者提供担保；</w:t>
      </w:r>
      <w:r>
        <w:rPr>
          <w:rFonts w:ascii="彩虹粗仿宋" w:eastAsia="彩虹粗仿宋" w:hAnsi="宋体" w:cs="Arial"/>
          <w:sz w:val="24"/>
        </w:rPr>
        <w:t>3.</w:t>
      </w:r>
      <w:r>
        <w:rPr>
          <w:rFonts w:ascii="彩虹粗仿宋" w:eastAsia="彩虹粗仿宋" w:hAnsi="宋体" w:cs="Arial" w:hint="eastAsia"/>
          <w:sz w:val="24"/>
        </w:rPr>
        <w:t>从事承担无限责任的投资；</w:t>
      </w:r>
      <w:r>
        <w:rPr>
          <w:rFonts w:ascii="彩虹粗仿宋" w:eastAsia="彩虹粗仿宋" w:hAnsi="宋体" w:cs="Arial"/>
          <w:sz w:val="24"/>
        </w:rPr>
        <w:t>4.</w:t>
      </w:r>
      <w:r>
        <w:rPr>
          <w:rFonts w:ascii="彩虹粗仿宋" w:eastAsia="彩虹粗仿宋" w:hAnsi="宋体" w:cs="Arial" w:hint="eastAsia"/>
          <w:sz w:val="24"/>
        </w:rPr>
        <w:t>买卖其他基金份额，但是中国证监会另有规定的除外；</w:t>
      </w:r>
      <w:r>
        <w:rPr>
          <w:rFonts w:ascii="彩虹粗仿宋" w:eastAsia="彩虹粗仿宋" w:hAnsi="宋体" w:cs="Arial"/>
          <w:sz w:val="24"/>
        </w:rPr>
        <w:t>5.</w:t>
      </w:r>
      <w:r>
        <w:rPr>
          <w:rFonts w:ascii="彩虹粗仿宋" w:eastAsia="彩虹粗仿宋" w:hAnsi="宋体" w:cs="Arial" w:hint="eastAsia"/>
          <w:sz w:val="24"/>
        </w:rPr>
        <w:t>向其基金管理人、基金托管人出资；</w:t>
      </w:r>
      <w:r>
        <w:rPr>
          <w:rFonts w:ascii="彩虹粗仿宋" w:eastAsia="彩虹粗仿宋" w:hAnsi="宋体" w:cs="Arial"/>
          <w:sz w:val="24"/>
        </w:rPr>
        <w:t>6.</w:t>
      </w:r>
      <w:r>
        <w:rPr>
          <w:rFonts w:ascii="彩虹粗仿宋" w:eastAsia="彩虹粗仿宋" w:hAnsi="宋体" w:cs="Arial" w:hint="eastAsia"/>
          <w:sz w:val="24"/>
        </w:rPr>
        <w:t>从事内幕交易、操纵证券交易价格及其他不正当的证券交易活动；</w:t>
      </w:r>
      <w:r>
        <w:rPr>
          <w:rFonts w:ascii="彩虹粗仿宋" w:eastAsia="彩虹粗仿宋" w:hAnsi="宋体" w:cs="Arial"/>
          <w:sz w:val="24"/>
        </w:rPr>
        <w:t>7.</w:t>
      </w:r>
      <w:r>
        <w:rPr>
          <w:rFonts w:ascii="彩虹粗仿宋" w:eastAsia="彩虹粗仿宋" w:hAnsi="宋体" w:cs="Arial" w:hint="eastAsia"/>
          <w:sz w:val="24"/>
        </w:rPr>
        <w:t>法律、行政法规和中国证监会规定禁止的其他活动。</w:t>
      </w:r>
    </w:p>
    <w:p w14:paraId="567B351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法律法规或监管部门取消或调整上述限制，如适用于本基金，基金管理人在履行适当程序后，则本基金投资不再受相关限制或按调整后的规定执行。</w:t>
      </w:r>
    </w:p>
    <w:p w14:paraId="4FB03A19"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（十）法律法规和《基金合同》禁止的其他行为，以及依照法律、行政法规有关规定，由中国证监会规定禁止基金管理人、基金托管人从事的其他行为。</w:t>
      </w:r>
    </w:p>
    <w:p w14:paraId="36B1B842" w14:textId="77777777" w:rsidR="0053190E" w:rsidRDefault="0053190E">
      <w:pPr>
        <w:adjustRightInd w:val="0"/>
        <w:snapToGrid w:val="0"/>
        <w:rPr>
          <w:rFonts w:ascii="彩虹粗仿宋" w:eastAsia="彩虹粗仿宋"/>
          <w:sz w:val="30"/>
          <w:szCs w:val="30"/>
        </w:rPr>
      </w:pPr>
    </w:p>
    <w:p w14:paraId="5AF69A63" w14:textId="77777777" w:rsidR="0053190E" w:rsidRDefault="000529FB">
      <w:pPr>
        <w:pStyle w:val="2"/>
        <w:jc w:val="center"/>
        <w:rPr>
          <w:rFonts w:ascii="彩虹粗仿宋" w:eastAsia="彩虹粗仿宋"/>
          <w:sz w:val="30"/>
        </w:rPr>
      </w:pPr>
      <w:bookmarkStart w:id="94" w:name="_Toc124325900"/>
      <w:r>
        <w:rPr>
          <w:rFonts w:ascii="彩虹粗仿宋" w:eastAsia="彩虹粗仿宋" w:hint="eastAsia"/>
          <w:sz w:val="30"/>
        </w:rPr>
        <w:t>十六、托管协议的变更、终止与基金财产的清算</w:t>
      </w:r>
      <w:bookmarkEnd w:id="94"/>
    </w:p>
    <w:p w14:paraId="418D9CB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70C1B64D" w14:textId="77777777" w:rsidR="0053190E" w:rsidRDefault="000529FB">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w:t>
      </w:r>
    </w:p>
    <w:p w14:paraId="527B8D0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68DF06E9"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4F18F4A8"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0B6EACF9"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2FEE7B10"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4.发生法律法规或《基金合同》规定的终止事项。</w:t>
      </w:r>
    </w:p>
    <w:p w14:paraId="6AF3EDE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2AFA8FA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6965161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2.基金财产清算小组组成：基金财产清算小组成员由基金管理人、基金托管人、注册会计师、律师以及中国证监会指定的人员组成。基金财产清算小组可以聘用必要的工作人员。</w:t>
      </w:r>
    </w:p>
    <w:p w14:paraId="660D3AD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2496EC5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4CF5EC8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w:t>
      </w:r>
      <w:proofErr w:type="gramStart"/>
      <w:r>
        <w:rPr>
          <w:rFonts w:ascii="彩虹粗仿宋" w:eastAsia="彩虹粗仿宋" w:hAnsi="宋体" w:cs="Arial" w:hint="eastAsia"/>
          <w:sz w:val="24"/>
        </w:rPr>
        <w:t>且基金</w:t>
      </w:r>
      <w:proofErr w:type="gramEnd"/>
      <w:r>
        <w:rPr>
          <w:rFonts w:ascii="彩虹粗仿宋" w:eastAsia="彩虹粗仿宋" w:hAnsi="宋体" w:cs="Arial" w:hint="eastAsia"/>
          <w:sz w:val="24"/>
        </w:rPr>
        <w:t>财产清算小组成立后，由基金财产清算小组统一接管基金；</w:t>
      </w:r>
    </w:p>
    <w:p w14:paraId="11808503"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0A7B88E1"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403EC979"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43C4077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525F3845"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29FE9951"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274C81A2"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5.基金财产清算的期限为6个月，但因本基金所持证券的流动性受到限制而不能及时变现的，清算期限相应顺延。</w:t>
      </w:r>
    </w:p>
    <w:p w14:paraId="3D15E91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0C9BC48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清算费用是指基金财产清算小组在进行基金财产清算过程中发生的所有合理费用，清算费用由基金财产清算小组优先从基金剩余财产中支付。</w:t>
      </w:r>
    </w:p>
    <w:p w14:paraId="4ECFA9E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0FB6504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依据基金财产清算的分配方案，将基金财产清算后的全部剩余资产扣除基金财产清算费用、交纳所欠税款并清偿基金债务后，按基金份额持有人持有的各类基金份额比例进行分配。</w:t>
      </w:r>
    </w:p>
    <w:p w14:paraId="603348BA"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2A79EE99"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w:t>
      </w:r>
      <w:r>
        <w:rPr>
          <w:rFonts w:ascii="彩虹粗仿宋" w:eastAsia="彩虹粗仿宋" w:hAnsi="宋体" w:cs="Arial" w:hint="eastAsia"/>
          <w:sz w:val="24"/>
        </w:rPr>
        <w:lastRenderedPageBreak/>
        <w:t>告登载在规定网站上，并将清算报告提示性公告登载在规定报刊上。</w:t>
      </w:r>
    </w:p>
    <w:p w14:paraId="22C3340F"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35B0DA13"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基金财产清算账册及有关文件由基金托管人保存，保存期限不少于法律法规的规定。</w:t>
      </w:r>
    </w:p>
    <w:p w14:paraId="5CAACE56" w14:textId="77777777" w:rsidR="0053190E" w:rsidRDefault="0053190E">
      <w:pPr>
        <w:adjustRightInd w:val="0"/>
        <w:snapToGrid w:val="0"/>
        <w:rPr>
          <w:rFonts w:ascii="彩虹粗仿宋" w:eastAsia="彩虹粗仿宋" w:hAnsi="宋体" w:cs="Arial"/>
          <w:sz w:val="24"/>
        </w:rPr>
      </w:pPr>
    </w:p>
    <w:p w14:paraId="1FBAA55E" w14:textId="77777777" w:rsidR="0053190E" w:rsidRDefault="000529FB">
      <w:pPr>
        <w:pStyle w:val="2"/>
        <w:jc w:val="center"/>
        <w:rPr>
          <w:rFonts w:ascii="彩虹粗仿宋" w:eastAsia="彩虹粗仿宋"/>
          <w:sz w:val="30"/>
        </w:rPr>
      </w:pPr>
      <w:bookmarkStart w:id="95" w:name="_Toc124325901"/>
      <w:r>
        <w:rPr>
          <w:rFonts w:ascii="彩虹粗仿宋" w:eastAsia="彩虹粗仿宋" w:hint="eastAsia"/>
          <w:sz w:val="30"/>
        </w:rPr>
        <w:t>十七、违约责任</w:t>
      </w:r>
      <w:bookmarkEnd w:id="95"/>
    </w:p>
    <w:p w14:paraId="5666BEBF"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3EB076AF"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p>
    <w:p w14:paraId="12C5F47D"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F411BE0"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0FD7509F"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2.基金管理人和/或基金托管人按照当时有效的法律法规或中国证监会的规定作为或不作为而造成的损失等；</w:t>
      </w:r>
    </w:p>
    <w:p w14:paraId="523C9AF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7A128A5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3453034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FB28201"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2E3242D2" w14:textId="77777777" w:rsidR="0053190E" w:rsidRDefault="000529F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（六）由于基金管理人、基金托管人不可控制的因素导致业务出现差错，基金管理人和基金托管人虽然已经采取必要、适当、合理的措施进行检查，但是未能发现错误或</w:t>
      </w:r>
      <w:proofErr w:type="gramStart"/>
      <w:r>
        <w:rPr>
          <w:rFonts w:ascii="彩虹粗仿宋" w:eastAsia="彩虹粗仿宋" w:hAnsi="宋体" w:cs="Arial" w:hint="eastAsia"/>
          <w:sz w:val="24"/>
        </w:rPr>
        <w:t>虽发现</w:t>
      </w:r>
      <w:proofErr w:type="gramEnd"/>
      <w:r>
        <w:rPr>
          <w:rFonts w:ascii="彩虹粗仿宋" w:eastAsia="彩虹粗仿宋" w:hAnsi="宋体" w:cs="Arial" w:hint="eastAsia"/>
          <w:sz w:val="24"/>
        </w:rPr>
        <w:t>错误但是因为前述原因无法更正的，由此造成基金财产或投资人损失，基金管理人和基金托管人免除赔偿责任。但是基金管理人和基金托管人应积极采取必要的措施减轻或消除由此造成的影响。</w:t>
      </w:r>
    </w:p>
    <w:p w14:paraId="593A3FD7" w14:textId="77777777" w:rsidR="0053190E" w:rsidRDefault="0053190E">
      <w:pPr>
        <w:adjustRightInd w:val="0"/>
        <w:snapToGrid w:val="0"/>
        <w:outlineLvl w:val="0"/>
        <w:rPr>
          <w:rFonts w:ascii="彩虹粗仿宋" w:eastAsia="彩虹粗仿宋" w:hAnsi="宋体" w:cs="Arial"/>
          <w:sz w:val="24"/>
        </w:rPr>
      </w:pPr>
    </w:p>
    <w:p w14:paraId="2AAFF4DF" w14:textId="77777777" w:rsidR="0053190E" w:rsidRDefault="000529FB">
      <w:pPr>
        <w:pStyle w:val="2"/>
        <w:jc w:val="center"/>
        <w:rPr>
          <w:rFonts w:ascii="彩虹粗仿宋" w:eastAsia="彩虹粗仿宋"/>
          <w:sz w:val="30"/>
        </w:rPr>
      </w:pPr>
      <w:bookmarkStart w:id="96" w:name="_Toc124325902"/>
      <w:r>
        <w:rPr>
          <w:rFonts w:ascii="彩虹粗仿宋" w:eastAsia="彩虹粗仿宋" w:hint="eastAsia"/>
          <w:sz w:val="30"/>
        </w:rPr>
        <w:t>十八、争议解决方式</w:t>
      </w:r>
      <w:bookmarkEnd w:id="96"/>
    </w:p>
    <w:p w14:paraId="3B51D9B7" w14:textId="005DD6DD"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解决，协商不能解决的，任何一方均有权将争议提交中国国际经济贸易仲裁委员会，仲裁地点为北京市，按照中国国际经济贸易仲裁委员会届时有效的仲裁规则进行仲裁。仲裁裁决是终局的，对当事人均有约束力。除非仲裁裁决另有裁定，仲裁费用由败诉方承担。</w:t>
      </w:r>
    </w:p>
    <w:p w14:paraId="5B23C41F"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627CEE7"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本协议受中国法律（为本协议之目的，不包括香港特别行政区、澳门特别行政区和台湾地区法律）管辖。</w:t>
      </w:r>
    </w:p>
    <w:p w14:paraId="40392E23" w14:textId="77777777" w:rsidR="0053190E" w:rsidRDefault="0053190E">
      <w:pPr>
        <w:adjustRightInd w:val="0"/>
        <w:snapToGrid w:val="0"/>
        <w:rPr>
          <w:rFonts w:ascii="彩虹粗仿宋" w:eastAsia="彩虹粗仿宋" w:hAnsi="宋体" w:cs="Arial"/>
          <w:sz w:val="24"/>
        </w:rPr>
      </w:pPr>
    </w:p>
    <w:p w14:paraId="6CABD3B9" w14:textId="77777777" w:rsidR="0053190E" w:rsidRDefault="000529FB">
      <w:pPr>
        <w:pStyle w:val="2"/>
        <w:jc w:val="center"/>
        <w:rPr>
          <w:rFonts w:ascii="彩虹粗仿宋" w:eastAsia="彩虹粗仿宋"/>
          <w:sz w:val="30"/>
        </w:rPr>
      </w:pPr>
      <w:bookmarkStart w:id="97" w:name="_Toc124325903"/>
      <w:r>
        <w:rPr>
          <w:rFonts w:ascii="彩虹粗仿宋" w:eastAsia="彩虹粗仿宋" w:hint="eastAsia"/>
          <w:sz w:val="30"/>
        </w:rPr>
        <w:t>十九、托管协议的效力</w:t>
      </w:r>
      <w:bookmarkEnd w:id="97"/>
    </w:p>
    <w:p w14:paraId="16E6465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1B251AE6"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Pr>
          <w:rFonts w:ascii="彩虹粗仿宋" w:eastAsia="彩虹粗仿宋" w:hAnsi="宋体" w:cs="Arial"/>
          <w:sz w:val="24"/>
        </w:rPr>
        <w:t>注册</w:t>
      </w:r>
      <w:r>
        <w:rPr>
          <w:rFonts w:ascii="彩虹粗仿宋" w:eastAsia="彩虹粗仿宋" w:hAnsi="宋体" w:cs="Arial" w:hint="eastAsia"/>
          <w:sz w:val="24"/>
        </w:rPr>
        <w:t>的文本为正式文本。</w:t>
      </w:r>
    </w:p>
    <w:p w14:paraId="7985B23B"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91388FB"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1D7ACF4A" w14:textId="77777777" w:rsidR="0053190E" w:rsidRDefault="000529FB">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（四）本协议一式三份，协议双方各持一份，上报监管机构一份，每份具有同等的法律效力。</w:t>
      </w:r>
    </w:p>
    <w:p w14:paraId="0B6F1603" w14:textId="77777777" w:rsidR="0053190E" w:rsidRDefault="0053190E">
      <w:pPr>
        <w:adjustRightInd w:val="0"/>
        <w:snapToGrid w:val="0"/>
        <w:rPr>
          <w:rFonts w:ascii="彩虹粗仿宋" w:eastAsia="彩虹粗仿宋" w:hAnsi="宋体" w:cs="Arial"/>
          <w:sz w:val="24"/>
        </w:rPr>
      </w:pPr>
    </w:p>
    <w:p w14:paraId="3FAC398C" w14:textId="77777777" w:rsidR="0053190E" w:rsidRDefault="000529FB">
      <w:pPr>
        <w:pStyle w:val="2"/>
        <w:jc w:val="center"/>
        <w:rPr>
          <w:rFonts w:ascii="彩虹粗仿宋" w:eastAsia="彩虹粗仿宋"/>
          <w:sz w:val="30"/>
        </w:rPr>
      </w:pPr>
      <w:bookmarkStart w:id="98" w:name="_Toc124325904"/>
      <w:r>
        <w:rPr>
          <w:rFonts w:ascii="彩虹粗仿宋" w:eastAsia="彩虹粗仿宋" w:hint="eastAsia"/>
          <w:sz w:val="30"/>
        </w:rPr>
        <w:t>二十、其他事项</w:t>
      </w:r>
      <w:bookmarkEnd w:id="98"/>
    </w:p>
    <w:p w14:paraId="4D287C23"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252F211C"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除本协议有明确定义外，本协议的用语定义适用《基金合同》的约定。本协议未尽事宜，当事人依据《基金合同》、有关法律法规等规定协商办理。</w:t>
      </w:r>
    </w:p>
    <w:p w14:paraId="1C15F336" w14:textId="77777777" w:rsidR="0053190E" w:rsidRDefault="0053190E">
      <w:pPr>
        <w:adjustRightInd w:val="0"/>
        <w:snapToGrid w:val="0"/>
        <w:rPr>
          <w:rFonts w:ascii="彩虹粗仿宋" w:eastAsia="彩虹粗仿宋"/>
          <w:b/>
          <w:bCs/>
        </w:rPr>
      </w:pPr>
    </w:p>
    <w:p w14:paraId="11200F66" w14:textId="77777777" w:rsidR="0053190E" w:rsidRDefault="000529FB">
      <w:pPr>
        <w:pStyle w:val="2"/>
        <w:jc w:val="center"/>
        <w:rPr>
          <w:rFonts w:ascii="彩虹粗仿宋" w:eastAsia="彩虹粗仿宋"/>
          <w:sz w:val="30"/>
        </w:rPr>
      </w:pPr>
      <w:bookmarkStart w:id="99" w:name="_Toc124325905"/>
      <w:r>
        <w:rPr>
          <w:rFonts w:ascii="彩虹粗仿宋" w:eastAsia="彩虹粗仿宋" w:hint="eastAsia"/>
          <w:sz w:val="30"/>
        </w:rPr>
        <w:t>二十一、托管协议的签订</w:t>
      </w:r>
      <w:bookmarkEnd w:id="99"/>
    </w:p>
    <w:p w14:paraId="15FB790D" w14:textId="77777777" w:rsidR="0053190E" w:rsidRDefault="000529F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5CC781DB" w14:textId="77777777" w:rsidR="0053190E" w:rsidRDefault="0053190E"/>
    <w:p w14:paraId="6CCD937C" w14:textId="77777777" w:rsidR="0053190E" w:rsidRDefault="0053190E"/>
    <w:p w14:paraId="259FEF97" w14:textId="77777777" w:rsidR="0053190E" w:rsidRDefault="0053190E"/>
    <w:p w14:paraId="03B72AEF" w14:textId="77777777" w:rsidR="0053190E" w:rsidRDefault="0053190E"/>
    <w:sectPr w:rsidR="0053190E" w:rsidSect="001728BA">
      <w:footerReference w:type="default" r:id="rId7"/>
      <w:pgSz w:w="11906" w:h="16838"/>
      <w:pgMar w:top="1418" w:right="1701" w:bottom="1418" w:left="1701" w:header="851" w:footer="992" w:gutter="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614E08" w16cid:durableId="2AD3D6DC"/>
  <w16cid:commentId w16cid:paraId="293B53B1" w16cid:durableId="2AD3D6DD"/>
  <w16cid:commentId w16cid:paraId="25281D11" w16cid:durableId="2AD3D6DE"/>
  <w16cid:commentId w16cid:paraId="0EA954D6" w16cid:durableId="2AD3D6DF"/>
  <w16cid:commentId w16cid:paraId="658C3F97" w16cid:durableId="2AD3D6E0"/>
  <w16cid:commentId w16cid:paraId="441D5815" w16cid:durableId="2AD3D6E1"/>
  <w16cid:commentId w16cid:paraId="32954D9A" w16cid:durableId="2AD3D6E2"/>
  <w16cid:commentId w16cid:paraId="4FC00CE1" w16cid:durableId="2AD3D6E3"/>
  <w16cid:commentId w16cid:paraId="3EE96E7E" w16cid:durableId="2AD3D6E4"/>
  <w16cid:commentId w16cid:paraId="3F9A5FA8" w16cid:durableId="2AD3D6E5"/>
  <w16cid:commentId w16cid:paraId="648630A7" w16cid:durableId="2AD3D6E6"/>
  <w16cid:commentId w16cid:paraId="2DB546C2" w16cid:durableId="2AD3D6E7"/>
  <w16cid:commentId w16cid:paraId="50BF7A54" w16cid:durableId="2AD3D6E8"/>
  <w16cid:commentId w16cid:paraId="2FE7169A" w16cid:durableId="2AD3D6E9"/>
  <w16cid:commentId w16cid:paraId="5F2310D9" w16cid:durableId="2AD3D6EA"/>
  <w16cid:commentId w16cid:paraId="2A380390" w16cid:durableId="2AD3D6EB"/>
  <w16cid:commentId w16cid:paraId="51D10728" w16cid:durableId="2AD3D6EC"/>
  <w16cid:commentId w16cid:paraId="6C6C10D9" w16cid:durableId="2AD3D6ED"/>
  <w16cid:commentId w16cid:paraId="4C666EA1" w16cid:durableId="2AD3D6EE"/>
  <w16cid:commentId w16cid:paraId="09A1E2ED" w16cid:durableId="2AD3D757"/>
  <w16cid:commentId w16cid:paraId="6D4E5C5E" w16cid:durableId="2AD3D6EF"/>
  <w16cid:commentId w16cid:paraId="103001E1" w16cid:durableId="2AD3D6F0"/>
  <w16cid:commentId w16cid:paraId="4EFE5A9C" w16cid:durableId="2AD3D6F1"/>
  <w16cid:commentId w16cid:paraId="08711BD9" w16cid:durableId="2AD3D6F2"/>
  <w16cid:commentId w16cid:paraId="4FE2159F" w16cid:durableId="2AD3D6F3"/>
  <w16cid:commentId w16cid:paraId="28E22BA5" w16cid:durableId="2AD3D6F4"/>
  <w16cid:commentId w16cid:paraId="4E384365" w16cid:durableId="2AD3D6F5"/>
  <w16cid:commentId w16cid:paraId="7346662A" w16cid:durableId="2AD3D6F6"/>
  <w16cid:commentId w16cid:paraId="50A91289" w16cid:durableId="2AD3D6F7"/>
  <w16cid:commentId w16cid:paraId="20793382" w16cid:durableId="2AD3D6F8"/>
  <w16cid:commentId w16cid:paraId="6D76117A" w16cid:durableId="2AD3D6F9"/>
  <w16cid:commentId w16cid:paraId="36C20878" w16cid:durableId="2AD3D6FA"/>
  <w16cid:commentId w16cid:paraId="26B14963" w16cid:durableId="2AD3D6FB"/>
  <w16cid:commentId w16cid:paraId="1CDF4626" w16cid:durableId="2AD3D6FC"/>
  <w16cid:commentId w16cid:paraId="0E2927DA" w16cid:durableId="2AD3D6FD"/>
  <w16cid:commentId w16cid:paraId="113E676D" w16cid:durableId="2AD3D6FE"/>
  <w16cid:commentId w16cid:paraId="64E02462" w16cid:durableId="2AD3D6FF"/>
  <w16cid:commentId w16cid:paraId="2B88C902" w16cid:durableId="2AD3D700"/>
  <w16cid:commentId w16cid:paraId="4EBF5F34" w16cid:durableId="2AD3D701"/>
  <w16cid:commentId w16cid:paraId="6DA62E39" w16cid:durableId="2AD3D702"/>
  <w16cid:commentId w16cid:paraId="6E891D3F" w16cid:durableId="2AD3D703"/>
  <w16cid:commentId w16cid:paraId="1FF11D5E" w16cid:durableId="2AD3D704"/>
  <w16cid:commentId w16cid:paraId="7E0E456D" w16cid:durableId="2AD3D705"/>
  <w16cid:commentId w16cid:paraId="0A6C06E3" w16cid:durableId="2AD3D7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9AA04" w14:textId="77777777" w:rsidR="004155BC" w:rsidRDefault="004155BC">
      <w:r>
        <w:separator/>
      </w:r>
    </w:p>
  </w:endnote>
  <w:endnote w:type="continuationSeparator" w:id="0">
    <w:p w14:paraId="7D407420" w14:textId="77777777" w:rsidR="004155BC" w:rsidRDefault="004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1" w:usb1="080E0000" w:usb2="0000000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206813"/>
      <w:docPartObj>
        <w:docPartGallery w:val="Page Numbers (Bottom of Page)"/>
        <w:docPartUnique/>
      </w:docPartObj>
    </w:sdtPr>
    <w:sdtEndPr/>
    <w:sdtContent>
      <w:p w14:paraId="22C03A08" w14:textId="7E585C3A" w:rsidR="001728BA" w:rsidRDefault="001728BA">
        <w:pPr>
          <w:pStyle w:val="a8"/>
          <w:jc w:val="center"/>
        </w:pPr>
        <w:r>
          <w:fldChar w:fldCharType="begin"/>
        </w:r>
        <w:r>
          <w:instrText>PAGE   \* MERGEFORMAT</w:instrText>
        </w:r>
        <w:r>
          <w:fldChar w:fldCharType="separate"/>
        </w:r>
        <w:r w:rsidR="00EC521D" w:rsidRPr="00EC521D">
          <w:rPr>
            <w:noProof/>
            <w:lang w:val="zh-CN"/>
          </w:rPr>
          <w:t>21</w:t>
        </w:r>
        <w:r>
          <w:fldChar w:fldCharType="end"/>
        </w:r>
      </w:p>
    </w:sdtContent>
  </w:sdt>
  <w:p w14:paraId="0F98751E" w14:textId="77777777" w:rsidR="001728BA" w:rsidRDefault="001728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F5B65" w14:textId="77777777" w:rsidR="004155BC" w:rsidRDefault="004155BC">
      <w:r>
        <w:separator/>
      </w:r>
    </w:p>
  </w:footnote>
  <w:footnote w:type="continuationSeparator" w:id="0">
    <w:p w14:paraId="75B664E2" w14:textId="77777777" w:rsidR="004155BC" w:rsidRDefault="00415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C9"/>
    <w:rsid w:val="000426E9"/>
    <w:rsid w:val="000529FB"/>
    <w:rsid w:val="00071BB3"/>
    <w:rsid w:val="000921E5"/>
    <w:rsid w:val="0009497A"/>
    <w:rsid w:val="000B2C12"/>
    <w:rsid w:val="000B3D9D"/>
    <w:rsid w:val="000D115F"/>
    <w:rsid w:val="000F1D55"/>
    <w:rsid w:val="001728BA"/>
    <w:rsid w:val="00195954"/>
    <w:rsid w:val="001A759D"/>
    <w:rsid w:val="001E7B0A"/>
    <w:rsid w:val="00203953"/>
    <w:rsid w:val="002423CE"/>
    <w:rsid w:val="00276E0F"/>
    <w:rsid w:val="002862A0"/>
    <w:rsid w:val="00352C30"/>
    <w:rsid w:val="0037502C"/>
    <w:rsid w:val="0039050D"/>
    <w:rsid w:val="003B04A1"/>
    <w:rsid w:val="003F0B2C"/>
    <w:rsid w:val="003F6C9A"/>
    <w:rsid w:val="004155BC"/>
    <w:rsid w:val="00433447"/>
    <w:rsid w:val="0044518C"/>
    <w:rsid w:val="00467839"/>
    <w:rsid w:val="004A7339"/>
    <w:rsid w:val="0050704F"/>
    <w:rsid w:val="005142CD"/>
    <w:rsid w:val="00523DF3"/>
    <w:rsid w:val="0053190E"/>
    <w:rsid w:val="005549A0"/>
    <w:rsid w:val="005825D0"/>
    <w:rsid w:val="00582C95"/>
    <w:rsid w:val="005931E2"/>
    <w:rsid w:val="005A0CAB"/>
    <w:rsid w:val="005A5DA0"/>
    <w:rsid w:val="005D44C9"/>
    <w:rsid w:val="005F4BF7"/>
    <w:rsid w:val="006246B2"/>
    <w:rsid w:val="00691224"/>
    <w:rsid w:val="006A1111"/>
    <w:rsid w:val="006D01F9"/>
    <w:rsid w:val="006E2282"/>
    <w:rsid w:val="00727961"/>
    <w:rsid w:val="007301BF"/>
    <w:rsid w:val="0078102B"/>
    <w:rsid w:val="0081351E"/>
    <w:rsid w:val="00853810"/>
    <w:rsid w:val="008B2E88"/>
    <w:rsid w:val="008F0187"/>
    <w:rsid w:val="00901D03"/>
    <w:rsid w:val="00976864"/>
    <w:rsid w:val="009975D9"/>
    <w:rsid w:val="009A5809"/>
    <w:rsid w:val="009B214E"/>
    <w:rsid w:val="009B7E6A"/>
    <w:rsid w:val="009C4B91"/>
    <w:rsid w:val="009D0B30"/>
    <w:rsid w:val="00A31069"/>
    <w:rsid w:val="00A44A98"/>
    <w:rsid w:val="00A523A9"/>
    <w:rsid w:val="00A62D20"/>
    <w:rsid w:val="00A75817"/>
    <w:rsid w:val="00AA2457"/>
    <w:rsid w:val="00AC7A09"/>
    <w:rsid w:val="00AE7523"/>
    <w:rsid w:val="00B002A7"/>
    <w:rsid w:val="00B52B8A"/>
    <w:rsid w:val="00B64EAE"/>
    <w:rsid w:val="00BA6D13"/>
    <w:rsid w:val="00BF17B7"/>
    <w:rsid w:val="00BF443A"/>
    <w:rsid w:val="00C35E7C"/>
    <w:rsid w:val="00C73E17"/>
    <w:rsid w:val="00CE7C83"/>
    <w:rsid w:val="00D032F4"/>
    <w:rsid w:val="00D26324"/>
    <w:rsid w:val="00D30C01"/>
    <w:rsid w:val="00D32E81"/>
    <w:rsid w:val="00D34AA0"/>
    <w:rsid w:val="00D4175F"/>
    <w:rsid w:val="00D52C26"/>
    <w:rsid w:val="00D556F6"/>
    <w:rsid w:val="00DF34D9"/>
    <w:rsid w:val="00E051AA"/>
    <w:rsid w:val="00E0640E"/>
    <w:rsid w:val="00E150DC"/>
    <w:rsid w:val="00E65B68"/>
    <w:rsid w:val="00EA6852"/>
    <w:rsid w:val="00EC521D"/>
    <w:rsid w:val="00EE696E"/>
    <w:rsid w:val="00F12FDC"/>
    <w:rsid w:val="00F6689C"/>
    <w:rsid w:val="00F740CA"/>
    <w:rsid w:val="00FC51B3"/>
    <w:rsid w:val="00FC5F3C"/>
    <w:rsid w:val="00FC70BE"/>
    <w:rsid w:val="00FC7E05"/>
    <w:rsid w:val="050B009F"/>
    <w:rsid w:val="0A36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EAB65"/>
  <w15:docId w15:val="{4A1DB884-00F5-459C-9133-32F67B9A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Char1"/>
    <w:qFormat/>
    <w:pPr>
      <w:jc w:val="left"/>
    </w:pPr>
  </w:style>
  <w:style w:type="paragraph" w:styleId="a5">
    <w:name w:val="Body Text"/>
    <w:basedOn w:val="a"/>
    <w:link w:val="Char"/>
    <w:qFormat/>
    <w:pPr>
      <w:spacing w:line="360" w:lineRule="auto"/>
    </w:pPr>
    <w:rPr>
      <w:rFonts w:ascii="仿宋_GB2312" w:eastAsia="仿宋_GB2312"/>
      <w:color w:val="000000"/>
      <w:kern w:val="0"/>
      <w:sz w:val="24"/>
      <w:szCs w:val="28"/>
    </w:rPr>
  </w:style>
  <w:style w:type="paragraph" w:styleId="a6">
    <w:name w:val="Body Text Indent"/>
    <w:basedOn w:val="a"/>
    <w:link w:val="Char0"/>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7">
    <w:name w:val="Balloon Text"/>
    <w:basedOn w:val="a"/>
    <w:link w:val="Char2"/>
    <w:semiHidden/>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qFormat/>
    <w:rPr>
      <w:b/>
      <w:bCs/>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semiHidden/>
    <w:unhideWhenUsed/>
    <w:qFormat/>
    <w:rPr>
      <w:color w:val="954F72" w:themeColor="followedHyperlink"/>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1">
    <w:name w:val="批注文字 Char1"/>
    <w:basedOn w:val="a1"/>
    <w:link w:val="a4"/>
    <w:qFormat/>
    <w:rPr>
      <w:rFonts w:ascii="Times New Roman" w:eastAsia="宋体" w:hAnsi="Times New Roman" w:cs="Times New Roman"/>
      <w:szCs w:val="24"/>
    </w:rPr>
  </w:style>
  <w:style w:type="character" w:customStyle="1" w:styleId="Char">
    <w:name w:val="正文文本 Char"/>
    <w:basedOn w:val="a1"/>
    <w:link w:val="a5"/>
    <w:qFormat/>
    <w:rPr>
      <w:rFonts w:ascii="仿宋_GB2312" w:eastAsia="仿宋_GB2312" w:hAnsi="Times New Roman" w:cs="Times New Roman"/>
      <w:color w:val="000000"/>
      <w:kern w:val="0"/>
      <w:sz w:val="24"/>
      <w:szCs w:val="28"/>
    </w:rPr>
  </w:style>
  <w:style w:type="character" w:customStyle="1" w:styleId="Char0">
    <w:name w:val="正文文本缩进 Char"/>
    <w:basedOn w:val="a1"/>
    <w:link w:val="a6"/>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Char2">
    <w:name w:val="批注框文本 Char"/>
    <w:basedOn w:val="a1"/>
    <w:link w:val="a7"/>
    <w:semiHidden/>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4">
    <w:name w:val="页眉 Char"/>
    <w:basedOn w:val="a1"/>
    <w:link w:val="a9"/>
    <w:qFormat/>
    <w:rPr>
      <w:rFonts w:ascii="Times New Roman" w:eastAsia="宋体" w:hAnsi="Times New Roman" w:cs="Times New Roman"/>
      <w:sz w:val="18"/>
      <w:szCs w:val="18"/>
    </w:rPr>
  </w:style>
  <w:style w:type="character" w:customStyle="1" w:styleId="3Char">
    <w:name w:val="正文文本缩进 3 Char"/>
    <w:basedOn w:val="a1"/>
    <w:link w:val="30"/>
    <w:qFormat/>
    <w:rPr>
      <w:rFonts w:ascii="仿宋_GB2312" w:eastAsia="仿宋_GB2312" w:hAnsi="宋体" w:cs="Arial"/>
      <w:color w:val="000000"/>
      <w:sz w:val="24"/>
      <w:szCs w:val="24"/>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5">
    <w:name w:val="批注主题 Char"/>
    <w:basedOn w:val="Char1"/>
    <w:link w:val="ab"/>
    <w:qFormat/>
    <w:rPr>
      <w:rFonts w:ascii="Times New Roman" w:eastAsia="宋体" w:hAnsi="Times New Roman" w:cs="Times New Roman"/>
      <w:b/>
      <w:bCs/>
      <w:szCs w:val="24"/>
    </w:rPr>
  </w:style>
  <w:style w:type="character" w:customStyle="1" w:styleId="22">
    <w:name w:val="标题 2 字符"/>
    <w:basedOn w:val="a1"/>
    <w:uiPriority w:val="9"/>
    <w:semiHidden/>
    <w:qFormat/>
    <w:rPr>
      <w:rFonts w:asciiTheme="majorHAnsi" w:eastAsiaTheme="majorEastAsia" w:hAnsiTheme="majorHAnsi" w:cstheme="majorBidi"/>
      <w:b/>
      <w:bCs/>
      <w:sz w:val="32"/>
      <w:szCs w:val="32"/>
    </w:rPr>
  </w:style>
  <w:style w:type="character" w:customStyle="1" w:styleId="af1">
    <w:name w:val="页眉 字符"/>
    <w:basedOn w:val="a1"/>
    <w:uiPriority w:val="99"/>
    <w:semiHidden/>
    <w:qFormat/>
    <w:rPr>
      <w:rFonts w:ascii="Times New Roman" w:eastAsia="宋体" w:hAnsi="Times New Roman" w:cs="Times New Roman"/>
      <w:sz w:val="18"/>
      <w:szCs w:val="18"/>
    </w:rPr>
  </w:style>
  <w:style w:type="character" w:customStyle="1" w:styleId="af2">
    <w:name w:val="页脚 字符"/>
    <w:basedOn w:val="a1"/>
    <w:uiPriority w:val="99"/>
    <w:semiHidden/>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f3">
    <w:name w:val="正文文本 字符"/>
    <w:basedOn w:val="a1"/>
    <w:uiPriority w:val="99"/>
    <w:semiHidden/>
    <w:qFormat/>
    <w:rPr>
      <w:rFonts w:ascii="Times New Roman" w:eastAsia="宋体" w:hAnsi="Times New Roman" w:cs="Times New Roman"/>
      <w:szCs w:val="24"/>
    </w:rPr>
  </w:style>
  <w:style w:type="character" w:customStyle="1" w:styleId="read">
    <w:name w:val="read"/>
    <w:basedOn w:val="a1"/>
    <w:qFormat/>
  </w:style>
  <w:style w:type="character" w:customStyle="1" w:styleId="af4">
    <w:name w:val="正文文本缩进 字符"/>
    <w:basedOn w:val="a1"/>
    <w:uiPriority w:val="99"/>
    <w:semiHidden/>
    <w:qFormat/>
    <w:rPr>
      <w:rFonts w:ascii="Times New Roman" w:eastAsia="宋体" w:hAnsi="Times New Roman" w:cs="Times New Roman"/>
      <w:szCs w:val="24"/>
    </w:rPr>
  </w:style>
  <w:style w:type="character" w:customStyle="1" w:styleId="23">
    <w:name w:val="正文文本缩进 2 字符"/>
    <w:basedOn w:val="a1"/>
    <w:uiPriority w:val="99"/>
    <w:semiHidden/>
    <w:qFormat/>
    <w:rPr>
      <w:rFonts w:ascii="Times New Roman" w:eastAsia="宋体" w:hAnsi="Times New Roman" w:cs="Times New Roman"/>
      <w:szCs w:val="24"/>
    </w:rPr>
  </w:style>
  <w:style w:type="character" w:customStyle="1" w:styleId="31">
    <w:name w:val="正文文本缩进 3 字符"/>
    <w:basedOn w:val="a1"/>
    <w:uiPriority w:val="99"/>
    <w:semiHidden/>
    <w:qFormat/>
    <w:rPr>
      <w:rFonts w:ascii="Times New Roman" w:eastAsia="宋体" w:hAnsi="Times New Roman" w:cs="Times New Roman"/>
      <w:sz w:val="16"/>
      <w:szCs w:val="16"/>
    </w:rPr>
  </w:style>
  <w:style w:type="character" w:customStyle="1" w:styleId="af5">
    <w:name w:val="批注框文本 字符"/>
    <w:basedOn w:val="a1"/>
    <w:uiPriority w:val="99"/>
    <w:semiHidden/>
    <w:qFormat/>
    <w:rPr>
      <w:rFonts w:ascii="Times New Roman" w:eastAsia="宋体" w:hAnsi="Times New Roman" w:cs="Times New Roman"/>
      <w:sz w:val="18"/>
      <w:szCs w:val="18"/>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af6">
    <w:name w:val="批注文字 字符"/>
    <w:basedOn w:val="a1"/>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0">
    <w:name w:val="HTML 预设格式 字符"/>
    <w:basedOn w:val="a1"/>
    <w:uiPriority w:val="99"/>
    <w:semiHidden/>
    <w:qFormat/>
    <w:rPr>
      <w:rFonts w:ascii="Courier New" w:eastAsia="宋体" w:hAnsi="Courier New" w:cs="Courier New"/>
      <w:sz w:val="20"/>
      <w:szCs w:val="20"/>
    </w:rPr>
  </w:style>
  <w:style w:type="character" w:customStyle="1" w:styleId="af7">
    <w:name w:val="批注主题 字符"/>
    <w:basedOn w:val="af6"/>
    <w:uiPriority w:val="99"/>
    <w:semiHidden/>
    <w:qFormat/>
    <w:rPr>
      <w:rFonts w:ascii="Times New Roman" w:eastAsia="宋体" w:hAnsi="Times New Roman" w:cs="Times New Roman"/>
      <w:b/>
      <w:bCs/>
      <w:szCs w:val="24"/>
    </w:rPr>
  </w:style>
  <w:style w:type="paragraph" w:customStyle="1" w:styleId="Style58">
    <w:name w:val="_Style 58"/>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Char20">
    <w:name w:val="批注文字 Char2"/>
    <w:qFormat/>
    <w:rPr>
      <w:sz w:val="24"/>
      <w:szCs w:val="24"/>
    </w:rPr>
  </w:style>
  <w:style w:type="paragraph" w:customStyle="1" w:styleId="24">
    <w:name w:val="修订2"/>
    <w:hidden/>
    <w:uiPriority w:val="99"/>
    <w:semiHidden/>
    <w:qFormat/>
    <w:rPr>
      <w:rFonts w:ascii="Times New Roman" w:eastAsia="宋体" w:hAnsi="Times New Roman" w:cs="Times New Roman"/>
      <w:kern w:val="2"/>
      <w:sz w:val="21"/>
      <w:szCs w:val="24"/>
    </w:rPr>
  </w:style>
  <w:style w:type="paragraph" w:customStyle="1" w:styleId="32">
    <w:name w:val="修订3"/>
    <w:hidden/>
    <w:uiPriority w:val="99"/>
    <w:semiHidden/>
    <w:qFormat/>
    <w:rPr>
      <w:rFonts w:ascii="Times New Roman" w:eastAsia="宋体" w:hAnsi="Times New Roman" w:cs="Times New Roman"/>
      <w:kern w:val="2"/>
      <w:sz w:val="21"/>
      <w:szCs w:val="24"/>
    </w:rPr>
  </w:style>
  <w:style w:type="character" w:customStyle="1" w:styleId="Char7">
    <w:name w:val="批注文字 Char"/>
    <w:qFormat/>
    <w:rPr>
      <w:rFonts w:ascii="Times New Roman" w:eastAsia="宋体" w:hAnsi="Times New Roman"/>
      <w:kern w:val="2"/>
      <w:sz w:val="21"/>
      <w:szCs w:val="24"/>
    </w:rPr>
  </w:style>
  <w:style w:type="paragraph" w:styleId="af8">
    <w:name w:val="Revision"/>
    <w:hidden/>
    <w:uiPriority w:val="99"/>
    <w:semiHidden/>
    <w:rsid w:val="00D032F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03DDA-EF9B-4CD2-818D-78C1EBA5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4377</Words>
  <Characters>24953</Characters>
  <Application>Microsoft Office Word</Application>
  <DocSecurity>0</DocSecurity>
  <Lines>207</Lines>
  <Paragraphs>58</Paragraphs>
  <ScaleCrop>false</ScaleCrop>
  <Company/>
  <LinksUpToDate>false</LinksUpToDate>
  <CharactersWithSpaces>29272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张玮</dc:creator>
  <cp:lastModifiedBy>发行前</cp:lastModifiedBy>
  <cp:revision>16</cp:revision>
  <cp:lastPrinted>2025-01-16T06:02:00Z</cp:lastPrinted>
  <dcterms:created xsi:type="dcterms:W3CDTF">2024-11-07T06:37:00Z</dcterms:created>
  <dcterms:modified xsi:type="dcterms:W3CDTF">2025-01-16T06:03:00Z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43A0CB83DF024568BF9948C5A578D763</vt:lpwstr>
  </property>
</Properties>
</file>