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5C" w:rsidRDefault="00C9645C" w:rsidP="00C9645C">
      <w:pPr>
        <w:adjustRightInd w:val="0"/>
        <w:snapToGrid w:val="0"/>
        <w:spacing w:line="560" w:lineRule="atLeast"/>
        <w:rPr>
          <w:rFonts w:ascii="彩虹粗仿宋" w:eastAsia="彩虹粗仿宋" w:hint="eastAsia"/>
          <w:color w:val="000000"/>
          <w:sz w:val="32"/>
          <w:szCs w:val="32"/>
        </w:rPr>
      </w:pPr>
      <w:r>
        <w:rPr>
          <w:rFonts w:ascii="彩虹粗仿宋" w:eastAsia="彩虹粗仿宋" w:hint="eastAsia"/>
          <w:color w:val="000000"/>
          <w:sz w:val="32"/>
          <w:szCs w:val="32"/>
        </w:rPr>
        <w:t>尊敬的客户：</w:t>
      </w:r>
    </w:p>
    <w:p w:rsidR="00A94990" w:rsidRDefault="00A94990" w:rsidP="00A94990">
      <w:pPr>
        <w:adjustRightInd w:val="0"/>
        <w:snapToGrid w:val="0"/>
        <w:spacing w:line="560" w:lineRule="atLeast"/>
        <w:ind w:firstLineChars="200" w:firstLine="640"/>
        <w:rPr>
          <w:rFonts w:ascii="彩虹粗仿宋" w:eastAsia="彩虹粗仿宋"/>
          <w:sz w:val="32"/>
        </w:rPr>
      </w:pPr>
      <w:r>
        <w:rPr>
          <w:rFonts w:ascii="彩虹粗仿宋" w:eastAsia="彩虹粗仿宋" w:hint="eastAsia"/>
          <w:color w:val="000000"/>
          <w:sz w:val="32"/>
          <w:szCs w:val="32"/>
        </w:rPr>
        <w:t>根据银保监会消费者代销业务、金融服务收费和消费者权益保护的合</w:t>
      </w:r>
      <w:proofErr w:type="gramStart"/>
      <w:r>
        <w:rPr>
          <w:rFonts w:ascii="彩虹粗仿宋" w:eastAsia="彩虹粗仿宋" w:hint="eastAsia"/>
          <w:color w:val="000000"/>
          <w:sz w:val="32"/>
          <w:szCs w:val="32"/>
        </w:rPr>
        <w:t>规</w:t>
      </w:r>
      <w:proofErr w:type="gramEnd"/>
      <w:r>
        <w:rPr>
          <w:rFonts w:ascii="彩虹粗仿宋" w:eastAsia="彩虹粗仿宋" w:hint="eastAsia"/>
          <w:color w:val="000000"/>
          <w:sz w:val="32"/>
          <w:szCs w:val="32"/>
        </w:rPr>
        <w:t>性</w:t>
      </w:r>
      <w:r w:rsidR="007E7895">
        <w:rPr>
          <w:rFonts w:ascii="彩虹粗仿宋" w:eastAsia="彩虹粗仿宋" w:hint="eastAsia"/>
          <w:color w:val="000000"/>
          <w:sz w:val="32"/>
          <w:szCs w:val="32"/>
        </w:rPr>
        <w:t>要求</w:t>
      </w:r>
      <w:r>
        <w:rPr>
          <w:rFonts w:ascii="彩虹粗仿宋" w:eastAsia="彩虹粗仿宋" w:hint="eastAsia"/>
          <w:color w:val="000000"/>
          <w:sz w:val="32"/>
          <w:szCs w:val="32"/>
        </w:rPr>
        <w:t>，为进一步提升我行理财客户风险评估业务的合</w:t>
      </w:r>
      <w:proofErr w:type="gramStart"/>
      <w:r>
        <w:rPr>
          <w:rFonts w:ascii="彩虹粗仿宋" w:eastAsia="彩虹粗仿宋" w:hint="eastAsia"/>
          <w:color w:val="000000"/>
          <w:sz w:val="32"/>
          <w:szCs w:val="32"/>
        </w:rPr>
        <w:t>规</w:t>
      </w:r>
      <w:proofErr w:type="gramEnd"/>
      <w:r>
        <w:rPr>
          <w:rFonts w:ascii="彩虹粗仿宋" w:eastAsia="彩虹粗仿宋" w:hint="eastAsia"/>
          <w:color w:val="000000"/>
          <w:sz w:val="32"/>
          <w:szCs w:val="32"/>
        </w:rPr>
        <w:t>管理水平，</w:t>
      </w:r>
      <w:r w:rsidR="00C9645C">
        <w:rPr>
          <w:rFonts w:ascii="彩虹粗仿宋" w:eastAsia="彩虹粗仿宋" w:hint="eastAsia"/>
          <w:sz w:val="32"/>
        </w:rPr>
        <w:t>我</w:t>
      </w:r>
      <w:r>
        <w:rPr>
          <w:rFonts w:ascii="彩虹粗仿宋" w:eastAsia="彩虹粗仿宋" w:hint="eastAsia"/>
          <w:sz w:val="32"/>
        </w:rPr>
        <w:t>分行拟调整中国建设银行浙江省分行“乾元”</w:t>
      </w:r>
      <w:r w:rsidR="00EC2B41">
        <w:rPr>
          <w:rFonts w:ascii="彩虹粗仿宋" w:eastAsia="彩虹粗仿宋" w:hint="eastAsia"/>
          <w:sz w:val="32"/>
        </w:rPr>
        <w:t>系列</w:t>
      </w:r>
      <w:r>
        <w:rPr>
          <w:rFonts w:ascii="彩虹粗仿宋" w:eastAsia="彩虹粗仿宋" w:hint="eastAsia"/>
          <w:sz w:val="32"/>
        </w:rPr>
        <w:t>资产组合型人民币理财产品的</w:t>
      </w:r>
      <w:r w:rsidR="007E2E33">
        <w:rPr>
          <w:rFonts w:ascii="彩虹粗仿宋" w:eastAsia="彩虹粗仿宋" w:hint="eastAsia"/>
          <w:sz w:val="32"/>
        </w:rPr>
        <w:t>客户风险评估</w:t>
      </w:r>
      <w:r w:rsidR="00416A59">
        <w:rPr>
          <w:rFonts w:ascii="彩虹粗仿宋" w:eastAsia="彩虹粗仿宋" w:hint="eastAsia"/>
          <w:sz w:val="32"/>
        </w:rPr>
        <w:t>等级</w:t>
      </w:r>
      <w:r w:rsidR="007E2E33">
        <w:rPr>
          <w:rFonts w:ascii="彩虹粗仿宋" w:eastAsia="彩虹粗仿宋" w:hint="eastAsia"/>
          <w:sz w:val="32"/>
        </w:rPr>
        <w:t>名称</w:t>
      </w:r>
      <w:r>
        <w:rPr>
          <w:rFonts w:ascii="彩虹粗仿宋" w:eastAsia="彩虹粗仿宋" w:hint="eastAsia"/>
          <w:sz w:val="32"/>
        </w:rPr>
        <w:t>，并相应修订产品风险揭示书和产品说明书及客户问答手册的相关内容。现将具体事项通知如下：</w:t>
      </w:r>
    </w:p>
    <w:p w:rsidR="00A94990" w:rsidRDefault="00A94990" w:rsidP="00A94990">
      <w:pPr>
        <w:adjustRightInd w:val="0"/>
        <w:snapToGrid w:val="0"/>
        <w:spacing w:line="600" w:lineRule="exact"/>
        <w:ind w:firstLineChars="200" w:firstLine="640"/>
        <w:rPr>
          <w:rFonts w:ascii="彩虹黑体" w:eastAsia="彩虹黑体"/>
          <w:sz w:val="32"/>
        </w:rPr>
      </w:pPr>
      <w:r>
        <w:rPr>
          <w:rFonts w:ascii="彩虹黑体" w:eastAsia="彩虹黑体" w:hint="eastAsia"/>
          <w:sz w:val="32"/>
        </w:rPr>
        <w:t>一、</w:t>
      </w:r>
      <w:r w:rsidR="00B90C47">
        <w:rPr>
          <w:rFonts w:ascii="彩虹黑体" w:eastAsia="彩虹黑体" w:hint="eastAsia"/>
          <w:sz w:val="32"/>
        </w:rPr>
        <w:t>本次</w:t>
      </w:r>
      <w:r>
        <w:rPr>
          <w:rFonts w:ascii="彩虹黑体" w:eastAsia="彩虹黑体" w:hint="eastAsia"/>
          <w:sz w:val="32"/>
        </w:rPr>
        <w:t>调整</w:t>
      </w:r>
      <w:r w:rsidR="00B90C47">
        <w:rPr>
          <w:rFonts w:ascii="彩虹黑体" w:eastAsia="彩虹黑体" w:hint="eastAsia"/>
          <w:sz w:val="32"/>
        </w:rPr>
        <w:t>的</w:t>
      </w:r>
      <w:r w:rsidR="007E2E33">
        <w:rPr>
          <w:rFonts w:ascii="彩虹黑体" w:eastAsia="彩虹黑体" w:hint="eastAsia"/>
          <w:sz w:val="32"/>
        </w:rPr>
        <w:t>适用范围</w:t>
      </w:r>
    </w:p>
    <w:p w:rsidR="00B90C47" w:rsidRPr="007004DD" w:rsidRDefault="00B90C47" w:rsidP="007004DD">
      <w:pPr>
        <w:adjustRightInd w:val="0"/>
        <w:snapToGrid w:val="0"/>
        <w:spacing w:line="560" w:lineRule="atLeast"/>
        <w:ind w:firstLineChars="200" w:firstLine="640"/>
        <w:rPr>
          <w:rFonts w:ascii="彩虹粗仿宋" w:eastAsia="彩虹粗仿宋"/>
          <w:snapToGrid w:val="0"/>
          <w:kern w:val="0"/>
          <w:sz w:val="32"/>
          <w:szCs w:val="32"/>
        </w:rPr>
      </w:pPr>
      <w:r>
        <w:rPr>
          <w:rFonts w:ascii="彩虹粗仿宋" w:eastAsia="彩虹粗仿宋" w:hint="eastAsia"/>
          <w:sz w:val="32"/>
        </w:rPr>
        <w:t>浙江省分行自主发行的</w:t>
      </w:r>
      <w:r>
        <w:rPr>
          <w:rFonts w:ascii="彩虹粗仿宋" w:eastAsia="彩虹粗仿宋" w:hint="eastAsia"/>
          <w:snapToGrid w:val="0"/>
          <w:kern w:val="0"/>
          <w:sz w:val="32"/>
          <w:szCs w:val="32"/>
        </w:rPr>
        <w:t xml:space="preserve"> “乾元”</w:t>
      </w:r>
      <w:proofErr w:type="gramStart"/>
      <w:r>
        <w:rPr>
          <w:rFonts w:ascii="彩虹粗仿宋" w:eastAsia="彩虹粗仿宋" w:hint="eastAsia"/>
          <w:snapToGrid w:val="0"/>
          <w:kern w:val="0"/>
          <w:sz w:val="32"/>
          <w:szCs w:val="32"/>
        </w:rPr>
        <w:t>期次型和</w:t>
      </w:r>
      <w:proofErr w:type="gramEnd"/>
      <w:r>
        <w:rPr>
          <w:rFonts w:ascii="彩虹粗仿宋" w:eastAsia="彩虹粗仿宋" w:hint="eastAsia"/>
          <w:snapToGrid w:val="0"/>
          <w:kern w:val="0"/>
          <w:sz w:val="32"/>
          <w:szCs w:val="32"/>
        </w:rPr>
        <w:t>“乾元”开放式资产组合型理财产品。其中，“乾元”</w:t>
      </w:r>
      <w:proofErr w:type="gramStart"/>
      <w:r>
        <w:rPr>
          <w:rFonts w:ascii="彩虹粗仿宋" w:eastAsia="彩虹粗仿宋" w:hint="eastAsia"/>
          <w:snapToGrid w:val="0"/>
          <w:kern w:val="0"/>
          <w:sz w:val="32"/>
          <w:szCs w:val="32"/>
        </w:rPr>
        <w:t>期次型资产</w:t>
      </w:r>
      <w:proofErr w:type="gramEnd"/>
      <w:r>
        <w:rPr>
          <w:rFonts w:ascii="彩虹粗仿宋" w:eastAsia="彩虹粗仿宋" w:hint="eastAsia"/>
          <w:snapToGrid w:val="0"/>
          <w:kern w:val="0"/>
          <w:sz w:val="32"/>
          <w:szCs w:val="32"/>
        </w:rPr>
        <w:t>组合型理财产品统一命名为中国建设银行浙江省分行“乾元-XX”XXXX年第XX期人民币理财产品，包括但不限于“乾元—久盈”XXXX年第XX期人民币理财产品、“乾元—嘉盈”XXXX年第XX期人民币理财产品</w:t>
      </w:r>
      <w:r w:rsidR="00F56357">
        <w:rPr>
          <w:rFonts w:ascii="彩虹粗仿宋" w:eastAsia="彩虹粗仿宋" w:hint="eastAsia"/>
          <w:snapToGrid w:val="0"/>
          <w:kern w:val="0"/>
          <w:sz w:val="32"/>
          <w:szCs w:val="32"/>
        </w:rPr>
        <w:t>、“乾元</w:t>
      </w:r>
      <w:r w:rsidR="004C39BA">
        <w:rPr>
          <w:rFonts w:ascii="彩虹粗仿宋" w:eastAsia="彩虹粗仿宋" w:hint="eastAsia"/>
          <w:snapToGrid w:val="0"/>
          <w:kern w:val="0"/>
          <w:sz w:val="32"/>
          <w:szCs w:val="32"/>
        </w:rPr>
        <w:t>—</w:t>
      </w:r>
      <w:r w:rsidR="00F56357">
        <w:rPr>
          <w:rFonts w:ascii="彩虹粗仿宋" w:eastAsia="彩虹粗仿宋" w:hint="eastAsia"/>
          <w:snapToGrid w:val="0"/>
          <w:kern w:val="0"/>
          <w:sz w:val="32"/>
          <w:szCs w:val="32"/>
        </w:rPr>
        <w:t>同心善行”XXXX年第XX期人民币理财产品</w:t>
      </w:r>
      <w:r w:rsidR="007004DD">
        <w:rPr>
          <w:rFonts w:ascii="彩虹粗仿宋" w:eastAsia="彩虹粗仿宋" w:hint="eastAsia"/>
          <w:snapToGrid w:val="0"/>
          <w:kern w:val="0"/>
          <w:sz w:val="32"/>
          <w:szCs w:val="32"/>
        </w:rPr>
        <w:t>；</w:t>
      </w:r>
      <w:r>
        <w:rPr>
          <w:rFonts w:ascii="彩虹粗仿宋" w:eastAsia="彩虹粗仿宋" w:hint="eastAsia"/>
          <w:snapToGrid w:val="0"/>
          <w:kern w:val="0"/>
          <w:sz w:val="32"/>
          <w:szCs w:val="32"/>
        </w:rPr>
        <w:t>“乾元”开放式资产组合型理财产品统一命名为</w:t>
      </w:r>
      <w:r w:rsidRPr="00B90C47">
        <w:rPr>
          <w:rFonts w:ascii="彩虹粗仿宋" w:eastAsia="彩虹粗仿宋" w:hint="eastAsia"/>
          <w:snapToGrid w:val="0"/>
          <w:kern w:val="0"/>
          <w:sz w:val="32"/>
          <w:szCs w:val="32"/>
        </w:rPr>
        <w:t>中国建设银行浙江省分行“乾元—聚盈”（按日）开放式资产组合型人民币理财产品</w:t>
      </w:r>
      <w:r>
        <w:rPr>
          <w:rFonts w:ascii="彩虹粗仿宋" w:eastAsia="彩虹粗仿宋" w:hint="eastAsia"/>
          <w:snapToGrid w:val="0"/>
          <w:kern w:val="0"/>
          <w:sz w:val="32"/>
          <w:szCs w:val="32"/>
        </w:rPr>
        <w:t>。</w:t>
      </w:r>
    </w:p>
    <w:p w:rsidR="00A94990" w:rsidRDefault="00A94990" w:rsidP="00A94990">
      <w:pPr>
        <w:adjustRightInd w:val="0"/>
        <w:snapToGrid w:val="0"/>
        <w:spacing w:beforeLines="50" w:before="156" w:line="600" w:lineRule="exact"/>
        <w:ind w:firstLineChars="200" w:firstLine="640"/>
        <w:rPr>
          <w:rFonts w:ascii="彩虹黑体" w:eastAsia="彩虹黑体"/>
          <w:sz w:val="32"/>
        </w:rPr>
      </w:pPr>
      <w:r>
        <w:rPr>
          <w:rFonts w:ascii="彩虹黑体" w:eastAsia="彩虹黑体" w:hint="eastAsia"/>
          <w:sz w:val="32"/>
        </w:rPr>
        <w:t>二、</w:t>
      </w:r>
      <w:r w:rsidR="00B90C47">
        <w:rPr>
          <w:rFonts w:ascii="彩虹黑体" w:eastAsia="彩虹黑体" w:hint="eastAsia"/>
          <w:sz w:val="32"/>
        </w:rPr>
        <w:t>本次</w:t>
      </w:r>
      <w:r>
        <w:rPr>
          <w:rFonts w:ascii="彩虹黑体" w:eastAsia="彩虹黑体" w:hint="eastAsia"/>
          <w:sz w:val="32"/>
        </w:rPr>
        <w:t>调整</w:t>
      </w:r>
      <w:r w:rsidR="00B90C47">
        <w:rPr>
          <w:rFonts w:ascii="彩虹黑体" w:eastAsia="彩虹黑体" w:hint="eastAsia"/>
          <w:sz w:val="32"/>
        </w:rPr>
        <w:t>的具体内容</w:t>
      </w:r>
    </w:p>
    <w:p w:rsidR="00C451D9" w:rsidRPr="00C451D9" w:rsidRDefault="00C451D9" w:rsidP="00C451D9">
      <w:pPr>
        <w:adjustRightInd w:val="0"/>
        <w:snapToGrid w:val="0"/>
        <w:spacing w:beforeLines="50" w:before="156" w:line="600" w:lineRule="exact"/>
        <w:ind w:firstLineChars="200" w:firstLine="640"/>
        <w:rPr>
          <w:rFonts w:ascii="彩虹粗仿宋" w:eastAsia="彩虹粗仿宋"/>
          <w:sz w:val="32"/>
        </w:rPr>
      </w:pPr>
      <w:r>
        <w:rPr>
          <w:rFonts w:ascii="彩虹粗仿宋" w:eastAsia="彩虹粗仿宋" w:hint="eastAsia"/>
          <w:sz w:val="32"/>
        </w:rPr>
        <w:t>理财</w:t>
      </w:r>
      <w:r w:rsidRPr="00C451D9">
        <w:rPr>
          <w:rFonts w:ascii="彩虹粗仿宋" w:eastAsia="彩虹粗仿宋" w:hint="eastAsia"/>
          <w:sz w:val="32"/>
        </w:rPr>
        <w:t>客户风险评估</w:t>
      </w:r>
      <w:r w:rsidR="00416A59">
        <w:rPr>
          <w:rFonts w:ascii="彩虹粗仿宋" w:eastAsia="彩虹粗仿宋" w:hint="eastAsia"/>
          <w:sz w:val="32"/>
        </w:rPr>
        <w:t>等级</w:t>
      </w:r>
      <w:r w:rsidRPr="00C451D9">
        <w:rPr>
          <w:rFonts w:ascii="彩虹粗仿宋" w:eastAsia="彩虹粗仿宋" w:hint="eastAsia"/>
          <w:sz w:val="32"/>
        </w:rPr>
        <w:t>按风险承受能力从弱到强分为5级：保守型、谨慎型、</w:t>
      </w:r>
      <w:r w:rsidR="003F2F74">
        <w:rPr>
          <w:rFonts w:ascii="彩虹粗仿宋" w:eastAsia="彩虹粗仿宋" w:hint="eastAsia"/>
          <w:sz w:val="32"/>
        </w:rPr>
        <w:t>稳健</w:t>
      </w:r>
      <w:r w:rsidRPr="00C451D9">
        <w:rPr>
          <w:rFonts w:ascii="彩虹粗仿宋" w:eastAsia="彩虹粗仿宋" w:hint="eastAsia"/>
          <w:sz w:val="32"/>
        </w:rPr>
        <w:t>型、进取型、激进型。</w:t>
      </w:r>
      <w:r>
        <w:rPr>
          <w:rFonts w:ascii="彩虹粗仿宋" w:eastAsia="彩虹粗仿宋" w:hint="eastAsia"/>
          <w:sz w:val="32"/>
        </w:rPr>
        <w:t>具体调整如下：</w:t>
      </w:r>
    </w:p>
    <w:tbl>
      <w:tblPr>
        <w:tblW w:w="6017" w:type="dxa"/>
        <w:jc w:val="center"/>
        <w:tblInd w:w="-21" w:type="dxa"/>
        <w:tblBorders>
          <w:top w:val="thinThickSmallGap" w:sz="24" w:space="0" w:color="auto"/>
          <w:bottom w:val="single" w:sz="4" w:space="0" w:color="auto"/>
          <w:insideH w:val="single" w:sz="4" w:space="0" w:color="auto"/>
          <w:insideV w:val="single" w:sz="4" w:space="0" w:color="auto"/>
        </w:tblBorders>
        <w:tblLook w:val="04A0" w:firstRow="1" w:lastRow="0" w:firstColumn="1" w:lastColumn="0" w:noHBand="0" w:noVBand="1"/>
      </w:tblPr>
      <w:tblGrid>
        <w:gridCol w:w="1593"/>
        <w:gridCol w:w="2235"/>
        <w:gridCol w:w="2189"/>
      </w:tblGrid>
      <w:tr w:rsidR="00A94990" w:rsidTr="00F36C82">
        <w:trPr>
          <w:trHeight w:val="658"/>
          <w:jc w:val="center"/>
        </w:trPr>
        <w:tc>
          <w:tcPr>
            <w:tcW w:w="1593" w:type="dxa"/>
            <w:tcBorders>
              <w:top w:val="thinThickSmallGap" w:sz="24" w:space="0" w:color="auto"/>
              <w:left w:val="nil"/>
              <w:bottom w:val="single" w:sz="4" w:space="0" w:color="auto"/>
              <w:right w:val="single" w:sz="4" w:space="0" w:color="auto"/>
            </w:tcBorders>
            <w:vAlign w:val="center"/>
            <w:hideMark/>
          </w:tcPr>
          <w:p w:rsidR="00A94990" w:rsidRDefault="00C451D9" w:rsidP="00C451D9">
            <w:pPr>
              <w:widowControl/>
              <w:adjustRightInd w:val="0"/>
              <w:snapToGrid w:val="0"/>
              <w:jc w:val="center"/>
              <w:textAlignment w:val="top"/>
              <w:rPr>
                <w:kern w:val="0"/>
                <w:sz w:val="20"/>
                <w:szCs w:val="20"/>
              </w:rPr>
            </w:pPr>
            <w:r>
              <w:rPr>
                <w:rFonts w:ascii="彩虹粗仿宋" w:eastAsia="彩虹粗仿宋" w:hAnsi="宋体" w:cs="宋体" w:hint="eastAsia"/>
                <w:b/>
                <w:color w:val="000000"/>
                <w:kern w:val="0"/>
                <w:sz w:val="24"/>
              </w:rPr>
              <w:t>等级</w:t>
            </w:r>
          </w:p>
        </w:tc>
        <w:tc>
          <w:tcPr>
            <w:tcW w:w="2235" w:type="dxa"/>
            <w:tcBorders>
              <w:top w:val="thinThickSmallGap" w:sz="24" w:space="0" w:color="auto"/>
              <w:left w:val="single" w:sz="4" w:space="0" w:color="auto"/>
              <w:bottom w:val="single" w:sz="4" w:space="0" w:color="auto"/>
              <w:right w:val="single" w:sz="4" w:space="0" w:color="auto"/>
            </w:tcBorders>
            <w:vAlign w:val="center"/>
            <w:hideMark/>
          </w:tcPr>
          <w:p w:rsidR="00A94990" w:rsidRDefault="00A94990" w:rsidP="00F36C82">
            <w:pPr>
              <w:widowControl/>
              <w:adjustRightInd w:val="0"/>
              <w:snapToGrid w:val="0"/>
              <w:jc w:val="center"/>
              <w:textAlignment w:val="top"/>
              <w:rPr>
                <w:rFonts w:ascii="彩虹粗仿宋" w:eastAsia="彩虹粗仿宋" w:hAnsi="宋体" w:cs="宋体"/>
                <w:b/>
                <w:color w:val="000000"/>
                <w:kern w:val="0"/>
                <w:sz w:val="24"/>
              </w:rPr>
            </w:pPr>
            <w:r>
              <w:rPr>
                <w:rFonts w:ascii="彩虹粗仿宋" w:eastAsia="彩虹粗仿宋" w:hAnsi="宋体" w:cs="宋体" w:hint="eastAsia"/>
                <w:b/>
                <w:color w:val="000000"/>
                <w:kern w:val="0"/>
                <w:sz w:val="24"/>
              </w:rPr>
              <w:t>调整前</w:t>
            </w:r>
          </w:p>
        </w:tc>
        <w:tc>
          <w:tcPr>
            <w:tcW w:w="2189" w:type="dxa"/>
            <w:tcBorders>
              <w:top w:val="thinThickSmallGap" w:sz="24" w:space="0" w:color="auto"/>
              <w:left w:val="single" w:sz="4" w:space="0" w:color="auto"/>
              <w:bottom w:val="single" w:sz="4" w:space="0" w:color="auto"/>
              <w:right w:val="nil"/>
            </w:tcBorders>
            <w:vAlign w:val="center"/>
            <w:hideMark/>
          </w:tcPr>
          <w:p w:rsidR="00A94990" w:rsidRDefault="00A94990" w:rsidP="00F36C82">
            <w:pPr>
              <w:widowControl/>
              <w:adjustRightInd w:val="0"/>
              <w:snapToGrid w:val="0"/>
              <w:jc w:val="center"/>
              <w:textAlignment w:val="top"/>
              <w:rPr>
                <w:rFonts w:ascii="彩虹粗仿宋" w:eastAsia="彩虹粗仿宋" w:hAnsi="宋体" w:cs="宋体"/>
                <w:b/>
                <w:color w:val="000000"/>
                <w:kern w:val="0"/>
                <w:sz w:val="24"/>
              </w:rPr>
            </w:pPr>
            <w:r>
              <w:rPr>
                <w:rFonts w:ascii="彩虹粗仿宋" w:eastAsia="彩虹粗仿宋" w:hAnsi="宋体" w:cs="宋体" w:hint="eastAsia"/>
                <w:b/>
                <w:color w:val="000000"/>
                <w:kern w:val="0"/>
                <w:sz w:val="24"/>
              </w:rPr>
              <w:t>调整后</w:t>
            </w:r>
          </w:p>
        </w:tc>
      </w:tr>
      <w:tr w:rsidR="00A94990" w:rsidTr="00F36C82">
        <w:trPr>
          <w:trHeight w:val="702"/>
          <w:jc w:val="center"/>
        </w:trPr>
        <w:tc>
          <w:tcPr>
            <w:tcW w:w="1593" w:type="dxa"/>
            <w:tcBorders>
              <w:top w:val="single" w:sz="4" w:space="0" w:color="auto"/>
              <w:left w:val="nil"/>
              <w:bottom w:val="single" w:sz="4" w:space="0" w:color="auto"/>
              <w:right w:val="single" w:sz="4" w:space="0" w:color="auto"/>
            </w:tcBorders>
            <w:vAlign w:val="center"/>
            <w:hideMark/>
          </w:tcPr>
          <w:p w:rsidR="00A94990" w:rsidRDefault="00C451D9" w:rsidP="00F36C82">
            <w:pPr>
              <w:widowControl/>
              <w:adjustRightInd w:val="0"/>
              <w:snapToGrid w:val="0"/>
              <w:jc w:val="center"/>
              <w:textAlignment w:val="top"/>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C1</w:t>
            </w:r>
          </w:p>
        </w:tc>
        <w:tc>
          <w:tcPr>
            <w:tcW w:w="2235" w:type="dxa"/>
            <w:tcBorders>
              <w:top w:val="single" w:sz="4" w:space="0" w:color="auto"/>
              <w:left w:val="single" w:sz="4" w:space="0" w:color="auto"/>
              <w:bottom w:val="single" w:sz="4" w:space="0" w:color="auto"/>
              <w:right w:val="single" w:sz="4" w:space="0" w:color="auto"/>
            </w:tcBorders>
            <w:vAlign w:val="center"/>
            <w:hideMark/>
          </w:tcPr>
          <w:p w:rsidR="00A94990"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保守型</w:t>
            </w:r>
          </w:p>
        </w:tc>
        <w:tc>
          <w:tcPr>
            <w:tcW w:w="2189" w:type="dxa"/>
            <w:tcBorders>
              <w:top w:val="single" w:sz="4" w:space="0" w:color="auto"/>
              <w:left w:val="single" w:sz="4" w:space="0" w:color="auto"/>
              <w:bottom w:val="single" w:sz="4" w:space="0" w:color="auto"/>
              <w:right w:val="nil"/>
            </w:tcBorders>
            <w:vAlign w:val="center"/>
            <w:hideMark/>
          </w:tcPr>
          <w:p w:rsidR="00A94990" w:rsidRPr="00C451D9" w:rsidRDefault="00C451D9" w:rsidP="00C451D9">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保守型</w:t>
            </w:r>
          </w:p>
        </w:tc>
      </w:tr>
      <w:tr w:rsidR="00C451D9" w:rsidTr="00F36C82">
        <w:trPr>
          <w:trHeight w:val="702"/>
          <w:jc w:val="center"/>
        </w:trPr>
        <w:tc>
          <w:tcPr>
            <w:tcW w:w="1593" w:type="dxa"/>
            <w:tcBorders>
              <w:top w:val="single" w:sz="4" w:space="0" w:color="auto"/>
              <w:left w:val="nil"/>
              <w:bottom w:val="single" w:sz="4" w:space="0" w:color="auto"/>
              <w:right w:val="single" w:sz="4" w:space="0" w:color="auto"/>
            </w:tcBorders>
            <w:vAlign w:val="center"/>
          </w:tcPr>
          <w:p w:rsidR="00C451D9" w:rsidRDefault="00C451D9" w:rsidP="00C451D9">
            <w:pPr>
              <w:widowControl/>
              <w:adjustRightInd w:val="0"/>
              <w:snapToGrid w:val="0"/>
              <w:jc w:val="center"/>
              <w:textAlignment w:val="top"/>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lastRenderedPageBreak/>
              <w:t>C2</w:t>
            </w:r>
          </w:p>
        </w:tc>
        <w:tc>
          <w:tcPr>
            <w:tcW w:w="2235" w:type="dxa"/>
            <w:tcBorders>
              <w:top w:val="single" w:sz="4" w:space="0" w:color="auto"/>
              <w:left w:val="single" w:sz="4" w:space="0" w:color="auto"/>
              <w:bottom w:val="single" w:sz="4" w:space="0" w:color="auto"/>
              <w:right w:val="single" w:sz="4" w:space="0" w:color="auto"/>
            </w:tcBorders>
            <w:vAlign w:val="center"/>
          </w:tcPr>
          <w:p w:rsidR="00C451D9"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收益型</w:t>
            </w:r>
          </w:p>
        </w:tc>
        <w:tc>
          <w:tcPr>
            <w:tcW w:w="2189" w:type="dxa"/>
            <w:tcBorders>
              <w:top w:val="single" w:sz="4" w:space="0" w:color="auto"/>
              <w:left w:val="single" w:sz="4" w:space="0" w:color="auto"/>
              <w:bottom w:val="single" w:sz="4" w:space="0" w:color="auto"/>
              <w:right w:val="nil"/>
            </w:tcBorders>
            <w:vAlign w:val="center"/>
          </w:tcPr>
          <w:p w:rsidR="00C451D9"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谨慎型</w:t>
            </w:r>
          </w:p>
        </w:tc>
      </w:tr>
      <w:tr w:rsidR="00C451D9" w:rsidTr="00F36C82">
        <w:trPr>
          <w:trHeight w:val="702"/>
          <w:jc w:val="center"/>
        </w:trPr>
        <w:tc>
          <w:tcPr>
            <w:tcW w:w="1593" w:type="dxa"/>
            <w:tcBorders>
              <w:top w:val="single" w:sz="4" w:space="0" w:color="auto"/>
              <w:left w:val="nil"/>
              <w:bottom w:val="single" w:sz="4" w:space="0" w:color="auto"/>
              <w:right w:val="single" w:sz="4" w:space="0" w:color="auto"/>
            </w:tcBorders>
            <w:vAlign w:val="center"/>
          </w:tcPr>
          <w:p w:rsidR="00C451D9" w:rsidRDefault="00C451D9" w:rsidP="00C451D9">
            <w:pPr>
              <w:widowControl/>
              <w:adjustRightInd w:val="0"/>
              <w:snapToGrid w:val="0"/>
              <w:jc w:val="center"/>
              <w:textAlignment w:val="top"/>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C3</w:t>
            </w:r>
          </w:p>
        </w:tc>
        <w:tc>
          <w:tcPr>
            <w:tcW w:w="2235" w:type="dxa"/>
            <w:tcBorders>
              <w:top w:val="single" w:sz="4" w:space="0" w:color="auto"/>
              <w:left w:val="single" w:sz="4" w:space="0" w:color="auto"/>
              <w:bottom w:val="single" w:sz="4" w:space="0" w:color="auto"/>
              <w:right w:val="single" w:sz="4" w:space="0" w:color="auto"/>
            </w:tcBorders>
            <w:vAlign w:val="center"/>
          </w:tcPr>
          <w:p w:rsidR="00C451D9"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稳健型</w:t>
            </w:r>
          </w:p>
        </w:tc>
        <w:tc>
          <w:tcPr>
            <w:tcW w:w="2189" w:type="dxa"/>
            <w:tcBorders>
              <w:top w:val="single" w:sz="4" w:space="0" w:color="auto"/>
              <w:left w:val="single" w:sz="4" w:space="0" w:color="auto"/>
              <w:bottom w:val="single" w:sz="4" w:space="0" w:color="auto"/>
              <w:right w:val="nil"/>
            </w:tcBorders>
            <w:vAlign w:val="center"/>
          </w:tcPr>
          <w:p w:rsidR="00C451D9" w:rsidRPr="00C451D9" w:rsidRDefault="003F2F74" w:rsidP="00F36C82">
            <w:pPr>
              <w:widowControl/>
              <w:adjustRightInd w:val="0"/>
              <w:snapToGrid w:val="0"/>
              <w:jc w:val="left"/>
              <w:textAlignment w:val="top"/>
              <w:rPr>
                <w:rFonts w:ascii="彩虹粗仿宋" w:eastAsia="彩虹粗仿宋"/>
                <w:sz w:val="32"/>
              </w:rPr>
            </w:pPr>
            <w:r>
              <w:rPr>
                <w:rFonts w:ascii="彩虹粗仿宋" w:eastAsia="彩虹粗仿宋" w:hint="eastAsia"/>
                <w:sz w:val="32"/>
              </w:rPr>
              <w:t>稳健</w:t>
            </w:r>
            <w:r w:rsidR="00C451D9" w:rsidRPr="00C451D9">
              <w:rPr>
                <w:rFonts w:ascii="彩虹粗仿宋" w:eastAsia="彩虹粗仿宋" w:hint="eastAsia"/>
                <w:sz w:val="32"/>
              </w:rPr>
              <w:t>型</w:t>
            </w:r>
          </w:p>
        </w:tc>
      </w:tr>
      <w:tr w:rsidR="00C451D9" w:rsidTr="00F36C82">
        <w:trPr>
          <w:trHeight w:val="702"/>
          <w:jc w:val="center"/>
        </w:trPr>
        <w:tc>
          <w:tcPr>
            <w:tcW w:w="1593" w:type="dxa"/>
            <w:tcBorders>
              <w:top w:val="single" w:sz="4" w:space="0" w:color="auto"/>
              <w:left w:val="nil"/>
              <w:bottom w:val="single" w:sz="4" w:space="0" w:color="auto"/>
              <w:right w:val="single" w:sz="4" w:space="0" w:color="auto"/>
            </w:tcBorders>
            <w:vAlign w:val="center"/>
          </w:tcPr>
          <w:p w:rsidR="00C451D9" w:rsidRDefault="00C451D9" w:rsidP="00C451D9">
            <w:pPr>
              <w:widowControl/>
              <w:adjustRightInd w:val="0"/>
              <w:snapToGrid w:val="0"/>
              <w:jc w:val="center"/>
              <w:textAlignment w:val="top"/>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C4</w:t>
            </w:r>
          </w:p>
        </w:tc>
        <w:tc>
          <w:tcPr>
            <w:tcW w:w="2235" w:type="dxa"/>
            <w:tcBorders>
              <w:top w:val="single" w:sz="4" w:space="0" w:color="auto"/>
              <w:left w:val="single" w:sz="4" w:space="0" w:color="auto"/>
              <w:bottom w:val="single" w:sz="4" w:space="0" w:color="auto"/>
              <w:right w:val="single" w:sz="4" w:space="0" w:color="auto"/>
            </w:tcBorders>
            <w:vAlign w:val="center"/>
          </w:tcPr>
          <w:p w:rsidR="00C451D9"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进取型</w:t>
            </w:r>
          </w:p>
        </w:tc>
        <w:tc>
          <w:tcPr>
            <w:tcW w:w="2189" w:type="dxa"/>
            <w:tcBorders>
              <w:top w:val="single" w:sz="4" w:space="0" w:color="auto"/>
              <w:left w:val="single" w:sz="4" w:space="0" w:color="auto"/>
              <w:bottom w:val="single" w:sz="4" w:space="0" w:color="auto"/>
              <w:right w:val="nil"/>
            </w:tcBorders>
            <w:vAlign w:val="center"/>
          </w:tcPr>
          <w:p w:rsidR="00C451D9"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进取型</w:t>
            </w:r>
          </w:p>
        </w:tc>
      </w:tr>
      <w:tr w:rsidR="00C451D9" w:rsidTr="00F36C82">
        <w:trPr>
          <w:trHeight w:val="702"/>
          <w:jc w:val="center"/>
        </w:trPr>
        <w:tc>
          <w:tcPr>
            <w:tcW w:w="1593" w:type="dxa"/>
            <w:tcBorders>
              <w:top w:val="single" w:sz="4" w:space="0" w:color="auto"/>
              <w:left w:val="nil"/>
              <w:bottom w:val="single" w:sz="4" w:space="0" w:color="auto"/>
              <w:right w:val="single" w:sz="4" w:space="0" w:color="auto"/>
            </w:tcBorders>
            <w:vAlign w:val="center"/>
          </w:tcPr>
          <w:p w:rsidR="00C451D9" w:rsidRDefault="00C451D9" w:rsidP="00C451D9">
            <w:pPr>
              <w:widowControl/>
              <w:adjustRightInd w:val="0"/>
              <w:snapToGrid w:val="0"/>
              <w:jc w:val="center"/>
              <w:textAlignment w:val="top"/>
              <w:rPr>
                <w:rFonts w:ascii="彩虹粗仿宋" w:eastAsia="彩虹粗仿宋" w:hAnsi="宋体" w:cs="宋体"/>
                <w:color w:val="000000"/>
                <w:kern w:val="0"/>
                <w:sz w:val="24"/>
              </w:rPr>
            </w:pPr>
            <w:r>
              <w:rPr>
                <w:rFonts w:ascii="彩虹粗仿宋" w:eastAsia="彩虹粗仿宋" w:hAnsi="宋体" w:cs="宋体" w:hint="eastAsia"/>
                <w:color w:val="000000"/>
                <w:kern w:val="0"/>
                <w:sz w:val="24"/>
              </w:rPr>
              <w:t>C5</w:t>
            </w:r>
          </w:p>
        </w:tc>
        <w:tc>
          <w:tcPr>
            <w:tcW w:w="2235" w:type="dxa"/>
            <w:tcBorders>
              <w:top w:val="single" w:sz="4" w:space="0" w:color="auto"/>
              <w:left w:val="single" w:sz="4" w:space="0" w:color="auto"/>
              <w:bottom w:val="single" w:sz="4" w:space="0" w:color="auto"/>
              <w:right w:val="single" w:sz="4" w:space="0" w:color="auto"/>
            </w:tcBorders>
            <w:vAlign w:val="center"/>
          </w:tcPr>
          <w:p w:rsidR="00C451D9"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积极进取型</w:t>
            </w:r>
          </w:p>
        </w:tc>
        <w:tc>
          <w:tcPr>
            <w:tcW w:w="2189" w:type="dxa"/>
            <w:tcBorders>
              <w:top w:val="single" w:sz="4" w:space="0" w:color="auto"/>
              <w:left w:val="single" w:sz="4" w:space="0" w:color="auto"/>
              <w:bottom w:val="single" w:sz="4" w:space="0" w:color="auto"/>
              <w:right w:val="nil"/>
            </w:tcBorders>
            <w:vAlign w:val="center"/>
          </w:tcPr>
          <w:p w:rsidR="00C451D9" w:rsidRPr="00C451D9" w:rsidRDefault="00C451D9" w:rsidP="00F36C82">
            <w:pPr>
              <w:widowControl/>
              <w:adjustRightInd w:val="0"/>
              <w:snapToGrid w:val="0"/>
              <w:jc w:val="left"/>
              <w:textAlignment w:val="top"/>
              <w:rPr>
                <w:rFonts w:ascii="彩虹粗仿宋" w:eastAsia="彩虹粗仿宋"/>
                <w:sz w:val="32"/>
              </w:rPr>
            </w:pPr>
            <w:r w:rsidRPr="00C451D9">
              <w:rPr>
                <w:rFonts w:ascii="彩虹粗仿宋" w:eastAsia="彩虹粗仿宋" w:hint="eastAsia"/>
                <w:sz w:val="32"/>
              </w:rPr>
              <w:t>激进型</w:t>
            </w:r>
          </w:p>
        </w:tc>
      </w:tr>
    </w:tbl>
    <w:p w:rsidR="00C451D9" w:rsidRPr="00C451D9" w:rsidRDefault="00C451D9" w:rsidP="00C451D9">
      <w:pPr>
        <w:adjustRightInd w:val="0"/>
        <w:snapToGrid w:val="0"/>
        <w:spacing w:beforeLines="50" w:before="156" w:line="560" w:lineRule="exact"/>
        <w:ind w:firstLineChars="200" w:firstLine="640"/>
        <w:rPr>
          <w:rFonts w:ascii="彩虹粗仿宋" w:eastAsia="彩虹粗仿宋"/>
          <w:sz w:val="32"/>
        </w:rPr>
      </w:pPr>
      <w:r w:rsidRPr="00C451D9">
        <w:rPr>
          <w:rFonts w:ascii="彩虹粗仿宋" w:eastAsia="彩虹粗仿宋" w:hint="eastAsia"/>
          <w:sz w:val="32"/>
        </w:rPr>
        <w:t>我行理财产品风险评级及所适用的理财客户</w:t>
      </w:r>
      <w:r>
        <w:rPr>
          <w:rFonts w:ascii="彩虹粗仿宋" w:eastAsia="彩虹粗仿宋" w:hint="eastAsia"/>
          <w:sz w:val="32"/>
        </w:rPr>
        <w:t>具体说明</w:t>
      </w:r>
      <w:r w:rsidRPr="00C451D9">
        <w:rPr>
          <w:rFonts w:ascii="彩虹粗仿宋" w:eastAsia="彩虹粗仿宋" w:hint="eastAsia"/>
          <w:sz w:val="32"/>
        </w:rPr>
        <w:t>相应调整如下表</w:t>
      </w:r>
      <w:r>
        <w:rPr>
          <w:rFonts w:ascii="彩虹粗仿宋" w:eastAsia="彩虹粗仿宋" w:hint="eastAsia"/>
          <w:sz w:val="32"/>
        </w:rPr>
        <w:t>：</w:t>
      </w:r>
    </w:p>
    <w:tbl>
      <w:tblPr>
        <w:tblW w:w="8735" w:type="dxa"/>
        <w:jc w:val="center"/>
        <w:tblInd w:w="-166" w:type="dxa"/>
        <w:tblBorders>
          <w:top w:val="thinThickSmallGap" w:sz="24" w:space="0" w:color="auto"/>
          <w:bottom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1"/>
        <w:gridCol w:w="1701"/>
        <w:gridCol w:w="5543"/>
      </w:tblGrid>
      <w:tr w:rsidR="00C451D9" w:rsidRPr="0065195A" w:rsidTr="00B12E02">
        <w:trPr>
          <w:trHeight w:val="840"/>
          <w:jc w:val="center"/>
        </w:trPr>
        <w:tc>
          <w:tcPr>
            <w:tcW w:w="1491" w:type="dxa"/>
            <w:tcMar>
              <w:top w:w="15" w:type="dxa"/>
              <w:left w:w="15" w:type="dxa"/>
              <w:bottom w:w="0" w:type="dxa"/>
              <w:right w:w="15" w:type="dxa"/>
            </w:tcMar>
            <w:vAlign w:val="center"/>
          </w:tcPr>
          <w:p w:rsidR="00C451D9" w:rsidRPr="00C451D9" w:rsidRDefault="00C451D9" w:rsidP="00C451D9">
            <w:pPr>
              <w:widowControl/>
              <w:adjustRightInd w:val="0"/>
              <w:snapToGrid w:val="0"/>
              <w:jc w:val="center"/>
              <w:textAlignment w:val="top"/>
              <w:rPr>
                <w:rFonts w:ascii="彩虹粗仿宋" w:eastAsia="彩虹粗仿宋" w:hAnsi="宋体" w:cs="宋体"/>
                <w:b/>
                <w:color w:val="000000"/>
                <w:kern w:val="0"/>
                <w:sz w:val="24"/>
              </w:rPr>
            </w:pPr>
            <w:r w:rsidRPr="00C451D9">
              <w:rPr>
                <w:rFonts w:ascii="彩虹粗仿宋" w:eastAsia="彩虹粗仿宋" w:hAnsi="宋体" w:cs="宋体" w:hint="eastAsia"/>
                <w:b/>
                <w:color w:val="000000"/>
                <w:kern w:val="0"/>
                <w:sz w:val="24"/>
              </w:rPr>
              <w:t>风险标识</w:t>
            </w:r>
          </w:p>
        </w:tc>
        <w:tc>
          <w:tcPr>
            <w:tcW w:w="1701" w:type="dxa"/>
            <w:tcMar>
              <w:top w:w="15" w:type="dxa"/>
              <w:left w:w="15" w:type="dxa"/>
              <w:bottom w:w="0" w:type="dxa"/>
              <w:right w:w="15" w:type="dxa"/>
            </w:tcMar>
            <w:vAlign w:val="center"/>
          </w:tcPr>
          <w:p w:rsidR="00C451D9" w:rsidRPr="00C451D9" w:rsidRDefault="00C451D9" w:rsidP="00C451D9">
            <w:pPr>
              <w:widowControl/>
              <w:adjustRightInd w:val="0"/>
              <w:snapToGrid w:val="0"/>
              <w:jc w:val="center"/>
              <w:textAlignment w:val="top"/>
              <w:rPr>
                <w:rFonts w:ascii="彩虹粗仿宋" w:eastAsia="彩虹粗仿宋" w:hAnsi="宋体" w:cs="宋体"/>
                <w:b/>
                <w:color w:val="000000"/>
                <w:kern w:val="0"/>
                <w:sz w:val="24"/>
              </w:rPr>
            </w:pPr>
            <w:r w:rsidRPr="00C451D9">
              <w:rPr>
                <w:rFonts w:ascii="彩虹粗仿宋" w:eastAsia="彩虹粗仿宋" w:hAnsi="宋体" w:cs="宋体" w:hint="eastAsia"/>
                <w:b/>
                <w:color w:val="000000"/>
                <w:kern w:val="0"/>
                <w:sz w:val="24"/>
              </w:rPr>
              <w:t>风险等级说明</w:t>
            </w:r>
          </w:p>
        </w:tc>
        <w:tc>
          <w:tcPr>
            <w:tcW w:w="5543" w:type="dxa"/>
            <w:vAlign w:val="center"/>
          </w:tcPr>
          <w:p w:rsidR="00C451D9" w:rsidRPr="00C451D9" w:rsidRDefault="00C451D9" w:rsidP="00C451D9">
            <w:pPr>
              <w:widowControl/>
              <w:adjustRightInd w:val="0"/>
              <w:snapToGrid w:val="0"/>
              <w:jc w:val="center"/>
              <w:textAlignment w:val="top"/>
              <w:rPr>
                <w:rFonts w:ascii="彩虹粗仿宋" w:eastAsia="彩虹粗仿宋" w:hAnsi="宋体" w:cs="宋体"/>
                <w:b/>
                <w:color w:val="000000"/>
                <w:kern w:val="0"/>
                <w:sz w:val="24"/>
              </w:rPr>
            </w:pPr>
            <w:r w:rsidRPr="00C451D9">
              <w:rPr>
                <w:rFonts w:ascii="彩虹粗仿宋" w:eastAsia="彩虹粗仿宋" w:hAnsi="宋体" w:cs="宋体" w:hint="eastAsia"/>
                <w:b/>
                <w:color w:val="000000"/>
                <w:kern w:val="0"/>
                <w:sz w:val="24"/>
              </w:rPr>
              <w:t>适用群体</w:t>
            </w:r>
          </w:p>
        </w:tc>
      </w:tr>
      <w:tr w:rsidR="00C451D9" w:rsidRPr="00A875CE" w:rsidTr="00B12E02">
        <w:trPr>
          <w:trHeight w:val="840"/>
          <w:jc w:val="center"/>
        </w:trPr>
        <w:tc>
          <w:tcPr>
            <w:tcW w:w="1491" w:type="dxa"/>
            <w:tcMar>
              <w:top w:w="15" w:type="dxa"/>
              <w:left w:w="15" w:type="dxa"/>
              <w:bottom w:w="0" w:type="dxa"/>
              <w:right w:w="15" w:type="dxa"/>
            </w:tcMar>
            <w:vAlign w:val="center"/>
          </w:tcPr>
          <w:p w:rsidR="00C451D9" w:rsidRPr="0065195A" w:rsidRDefault="00C451D9" w:rsidP="00F36C82">
            <w:pPr>
              <w:spacing w:line="280" w:lineRule="exact"/>
              <w:jc w:val="center"/>
              <w:rPr>
                <w:rFonts w:ascii="宋体" w:hAnsi="宋体"/>
                <w:bCs/>
                <w:sz w:val="18"/>
                <w:szCs w:val="18"/>
              </w:rPr>
            </w:pPr>
            <w:r>
              <w:rPr>
                <w:rFonts w:ascii="宋体" w:hAnsi="宋体"/>
                <w:noProof/>
                <w:sz w:val="18"/>
                <w:szCs w:val="18"/>
              </w:rPr>
              <w:drawing>
                <wp:inline distT="0" distB="0" distL="0" distR="0" wp14:anchorId="1611DEF2" wp14:editId="46A2BA16">
                  <wp:extent cx="190500" cy="19050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01" w:type="dxa"/>
            <w:tcMar>
              <w:top w:w="15" w:type="dxa"/>
              <w:left w:w="15" w:type="dxa"/>
              <w:bottom w:w="0" w:type="dxa"/>
              <w:right w:w="15" w:type="dxa"/>
            </w:tcMar>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风险极低</w:t>
            </w:r>
          </w:p>
        </w:tc>
        <w:tc>
          <w:tcPr>
            <w:tcW w:w="5543" w:type="dxa"/>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保守型、谨慎型、</w:t>
            </w:r>
            <w:r w:rsidR="003F2F74" w:rsidRPr="003F2F74">
              <w:rPr>
                <w:rFonts w:ascii="彩虹粗仿宋" w:eastAsia="彩虹粗仿宋" w:hint="eastAsia"/>
                <w:sz w:val="32"/>
              </w:rPr>
              <w:t>稳健</w:t>
            </w:r>
            <w:r w:rsidRPr="00C451D9">
              <w:rPr>
                <w:rFonts w:ascii="彩虹粗仿宋" w:eastAsia="彩虹粗仿宋" w:hint="eastAsia"/>
                <w:sz w:val="28"/>
                <w:szCs w:val="28"/>
              </w:rPr>
              <w:t>型、进取型、激进型</w:t>
            </w:r>
          </w:p>
        </w:tc>
      </w:tr>
      <w:tr w:rsidR="00C451D9" w:rsidRPr="0065195A" w:rsidTr="00B12E02">
        <w:trPr>
          <w:trHeight w:val="840"/>
          <w:jc w:val="center"/>
        </w:trPr>
        <w:tc>
          <w:tcPr>
            <w:tcW w:w="1491" w:type="dxa"/>
            <w:tcMar>
              <w:top w:w="15" w:type="dxa"/>
              <w:left w:w="15" w:type="dxa"/>
              <w:bottom w:w="0" w:type="dxa"/>
              <w:right w:w="15" w:type="dxa"/>
            </w:tcMar>
            <w:vAlign w:val="center"/>
          </w:tcPr>
          <w:p w:rsidR="00C451D9" w:rsidRPr="0065195A" w:rsidRDefault="00C451D9" w:rsidP="00F36C82">
            <w:pPr>
              <w:spacing w:line="280" w:lineRule="exact"/>
              <w:jc w:val="center"/>
              <w:rPr>
                <w:rFonts w:ascii="宋体" w:hAnsi="宋体"/>
                <w:bCs/>
                <w:sz w:val="18"/>
                <w:szCs w:val="18"/>
              </w:rPr>
            </w:pPr>
            <w:r>
              <w:rPr>
                <w:rFonts w:ascii="宋体" w:hAnsi="宋体"/>
                <w:noProof/>
                <w:sz w:val="18"/>
                <w:szCs w:val="18"/>
              </w:rPr>
              <w:drawing>
                <wp:inline distT="0" distB="0" distL="0" distR="0" wp14:anchorId="5C7333C0" wp14:editId="4A95222B">
                  <wp:extent cx="190500" cy="1905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564CA828" wp14:editId="55DBECE2">
                  <wp:extent cx="190500" cy="190500"/>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01" w:type="dxa"/>
            <w:tcMar>
              <w:top w:w="15" w:type="dxa"/>
              <w:left w:w="15" w:type="dxa"/>
              <w:bottom w:w="0" w:type="dxa"/>
              <w:right w:w="15" w:type="dxa"/>
            </w:tcMar>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较低风险</w:t>
            </w:r>
          </w:p>
        </w:tc>
        <w:tc>
          <w:tcPr>
            <w:tcW w:w="5543" w:type="dxa"/>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谨慎型、</w:t>
            </w:r>
            <w:r w:rsidR="003F2F74" w:rsidRPr="003F2F74">
              <w:rPr>
                <w:rFonts w:ascii="彩虹粗仿宋" w:eastAsia="彩虹粗仿宋" w:hint="eastAsia"/>
                <w:sz w:val="28"/>
                <w:szCs w:val="28"/>
              </w:rPr>
              <w:t>稳健</w:t>
            </w:r>
            <w:r w:rsidRPr="00C451D9">
              <w:rPr>
                <w:rFonts w:ascii="彩虹粗仿宋" w:eastAsia="彩虹粗仿宋" w:hint="eastAsia"/>
                <w:sz w:val="28"/>
                <w:szCs w:val="28"/>
              </w:rPr>
              <w:t>型、进取型、激进型</w:t>
            </w:r>
          </w:p>
        </w:tc>
      </w:tr>
      <w:tr w:rsidR="00C451D9" w:rsidRPr="0065195A" w:rsidTr="00B12E02">
        <w:trPr>
          <w:trHeight w:val="840"/>
          <w:jc w:val="center"/>
        </w:trPr>
        <w:tc>
          <w:tcPr>
            <w:tcW w:w="1491" w:type="dxa"/>
            <w:tcMar>
              <w:top w:w="15" w:type="dxa"/>
              <w:left w:w="15" w:type="dxa"/>
              <w:bottom w:w="0" w:type="dxa"/>
              <w:right w:w="15" w:type="dxa"/>
            </w:tcMar>
            <w:vAlign w:val="center"/>
          </w:tcPr>
          <w:p w:rsidR="00C451D9" w:rsidRPr="0065195A" w:rsidRDefault="00C451D9" w:rsidP="00F36C82">
            <w:pPr>
              <w:spacing w:line="280" w:lineRule="exact"/>
              <w:jc w:val="center"/>
              <w:rPr>
                <w:rFonts w:ascii="宋体" w:hAnsi="宋体"/>
                <w:bCs/>
                <w:sz w:val="18"/>
                <w:szCs w:val="18"/>
              </w:rPr>
            </w:pPr>
            <w:r>
              <w:rPr>
                <w:rFonts w:ascii="宋体" w:hAnsi="宋体"/>
                <w:noProof/>
                <w:sz w:val="18"/>
                <w:szCs w:val="18"/>
              </w:rPr>
              <w:drawing>
                <wp:inline distT="0" distB="0" distL="0" distR="0" wp14:anchorId="2CF81655" wp14:editId="447D7B51">
                  <wp:extent cx="190500" cy="1905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1CF0B45C" wp14:editId="5943F068">
                  <wp:extent cx="190500" cy="1905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1E6AAE75" wp14:editId="7DB38ED3">
                  <wp:extent cx="190500" cy="1905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01" w:type="dxa"/>
            <w:tcMar>
              <w:top w:w="15" w:type="dxa"/>
              <w:left w:w="15" w:type="dxa"/>
              <w:bottom w:w="0" w:type="dxa"/>
              <w:right w:w="15" w:type="dxa"/>
            </w:tcMar>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中等风险</w:t>
            </w:r>
          </w:p>
        </w:tc>
        <w:tc>
          <w:tcPr>
            <w:tcW w:w="5543" w:type="dxa"/>
            <w:vAlign w:val="center"/>
          </w:tcPr>
          <w:p w:rsidR="00C451D9" w:rsidRPr="00C451D9" w:rsidRDefault="003F2F74" w:rsidP="00C451D9">
            <w:pPr>
              <w:widowControl/>
              <w:adjustRightInd w:val="0"/>
              <w:snapToGrid w:val="0"/>
              <w:jc w:val="left"/>
              <w:textAlignment w:val="top"/>
              <w:rPr>
                <w:rFonts w:ascii="彩虹粗仿宋" w:eastAsia="彩虹粗仿宋"/>
                <w:sz w:val="28"/>
                <w:szCs w:val="28"/>
              </w:rPr>
            </w:pPr>
            <w:r w:rsidRPr="003F2F74">
              <w:rPr>
                <w:rFonts w:ascii="彩虹粗仿宋" w:eastAsia="彩虹粗仿宋" w:hint="eastAsia"/>
                <w:sz w:val="28"/>
                <w:szCs w:val="28"/>
              </w:rPr>
              <w:t>稳健</w:t>
            </w:r>
            <w:r w:rsidR="00C451D9" w:rsidRPr="00C451D9">
              <w:rPr>
                <w:rFonts w:ascii="彩虹粗仿宋" w:eastAsia="彩虹粗仿宋" w:hint="eastAsia"/>
                <w:sz w:val="28"/>
                <w:szCs w:val="28"/>
              </w:rPr>
              <w:t>型、进取型、激进型</w:t>
            </w:r>
          </w:p>
        </w:tc>
      </w:tr>
      <w:tr w:rsidR="00C451D9" w:rsidRPr="0065195A" w:rsidTr="00B12E02">
        <w:trPr>
          <w:trHeight w:val="840"/>
          <w:jc w:val="center"/>
        </w:trPr>
        <w:tc>
          <w:tcPr>
            <w:tcW w:w="1491" w:type="dxa"/>
            <w:tcMar>
              <w:top w:w="15" w:type="dxa"/>
              <w:left w:w="15" w:type="dxa"/>
              <w:bottom w:w="0" w:type="dxa"/>
              <w:right w:w="15" w:type="dxa"/>
            </w:tcMar>
            <w:vAlign w:val="center"/>
          </w:tcPr>
          <w:p w:rsidR="00C451D9" w:rsidRPr="0065195A" w:rsidRDefault="00C451D9" w:rsidP="00F36C82">
            <w:pPr>
              <w:spacing w:line="280" w:lineRule="exact"/>
              <w:jc w:val="center"/>
              <w:rPr>
                <w:rFonts w:ascii="宋体" w:hAnsi="宋体"/>
                <w:bCs/>
                <w:sz w:val="18"/>
                <w:szCs w:val="18"/>
              </w:rPr>
            </w:pPr>
            <w:r>
              <w:rPr>
                <w:rFonts w:ascii="宋体" w:hAnsi="宋体"/>
                <w:noProof/>
                <w:sz w:val="18"/>
                <w:szCs w:val="18"/>
              </w:rPr>
              <w:drawing>
                <wp:inline distT="0" distB="0" distL="0" distR="0" wp14:anchorId="0B282774" wp14:editId="1E7E3CCC">
                  <wp:extent cx="190500" cy="1905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6BEF25AA" wp14:editId="5084D681">
                  <wp:extent cx="190500" cy="19050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1325F459" wp14:editId="321BB9DF">
                  <wp:extent cx="190500" cy="1905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6CB67B0C" wp14:editId="2F9B6FCD">
                  <wp:extent cx="190500" cy="1905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01" w:type="dxa"/>
            <w:tcMar>
              <w:top w:w="15" w:type="dxa"/>
              <w:left w:w="15" w:type="dxa"/>
              <w:bottom w:w="0" w:type="dxa"/>
              <w:right w:w="15" w:type="dxa"/>
            </w:tcMar>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较高风险</w:t>
            </w:r>
          </w:p>
        </w:tc>
        <w:tc>
          <w:tcPr>
            <w:tcW w:w="5543" w:type="dxa"/>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进取型、激进型</w:t>
            </w:r>
          </w:p>
        </w:tc>
      </w:tr>
      <w:tr w:rsidR="00C451D9" w:rsidRPr="0065195A" w:rsidTr="00B12E02">
        <w:trPr>
          <w:trHeight w:val="840"/>
          <w:jc w:val="center"/>
        </w:trPr>
        <w:tc>
          <w:tcPr>
            <w:tcW w:w="1491" w:type="dxa"/>
            <w:tcMar>
              <w:top w:w="15" w:type="dxa"/>
              <w:left w:w="15" w:type="dxa"/>
              <w:bottom w:w="0" w:type="dxa"/>
              <w:right w:w="15" w:type="dxa"/>
            </w:tcMar>
            <w:vAlign w:val="center"/>
          </w:tcPr>
          <w:p w:rsidR="00C451D9" w:rsidRPr="0065195A" w:rsidRDefault="00C451D9" w:rsidP="00F36C82">
            <w:pPr>
              <w:spacing w:line="280" w:lineRule="exact"/>
              <w:jc w:val="center"/>
              <w:rPr>
                <w:rFonts w:ascii="宋体" w:hAnsi="宋体"/>
                <w:bCs/>
                <w:sz w:val="18"/>
                <w:szCs w:val="18"/>
              </w:rPr>
            </w:pPr>
            <w:r>
              <w:rPr>
                <w:rFonts w:ascii="宋体" w:hAnsi="宋体"/>
                <w:noProof/>
                <w:sz w:val="18"/>
                <w:szCs w:val="18"/>
              </w:rPr>
              <w:drawing>
                <wp:inline distT="0" distB="0" distL="0" distR="0" wp14:anchorId="44341102" wp14:editId="1C7D4110">
                  <wp:extent cx="190500" cy="1905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0C35B34B" wp14:editId="032C0BBB">
                  <wp:extent cx="190500" cy="1905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4BCAC359" wp14:editId="3CB512F0">
                  <wp:extent cx="190500" cy="1905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09A4575C" wp14:editId="00B8138E">
                  <wp:extent cx="190500" cy="1905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宋体" w:hAnsi="宋体"/>
                <w:noProof/>
                <w:sz w:val="18"/>
                <w:szCs w:val="18"/>
              </w:rPr>
              <w:drawing>
                <wp:inline distT="0" distB="0" distL="0" distR="0" wp14:anchorId="30D2EBBB" wp14:editId="26AA20CE">
                  <wp:extent cx="190500" cy="1905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1701" w:type="dxa"/>
            <w:tcMar>
              <w:top w:w="15" w:type="dxa"/>
              <w:left w:w="15" w:type="dxa"/>
              <w:bottom w:w="0" w:type="dxa"/>
              <w:right w:w="15" w:type="dxa"/>
            </w:tcMar>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高风险</w:t>
            </w:r>
          </w:p>
        </w:tc>
        <w:tc>
          <w:tcPr>
            <w:tcW w:w="5543" w:type="dxa"/>
            <w:vAlign w:val="center"/>
          </w:tcPr>
          <w:p w:rsidR="00C451D9" w:rsidRPr="00C451D9" w:rsidRDefault="00C451D9" w:rsidP="00C451D9">
            <w:pPr>
              <w:widowControl/>
              <w:adjustRightInd w:val="0"/>
              <w:snapToGrid w:val="0"/>
              <w:jc w:val="left"/>
              <w:textAlignment w:val="top"/>
              <w:rPr>
                <w:rFonts w:ascii="彩虹粗仿宋" w:eastAsia="彩虹粗仿宋"/>
                <w:sz w:val="28"/>
                <w:szCs w:val="28"/>
              </w:rPr>
            </w:pPr>
            <w:r w:rsidRPr="00C451D9">
              <w:rPr>
                <w:rFonts w:ascii="彩虹粗仿宋" w:eastAsia="彩虹粗仿宋" w:hint="eastAsia"/>
                <w:sz w:val="28"/>
                <w:szCs w:val="28"/>
              </w:rPr>
              <w:t>激进型</w:t>
            </w:r>
          </w:p>
        </w:tc>
      </w:tr>
    </w:tbl>
    <w:p w:rsidR="00A94990" w:rsidRDefault="00A94990" w:rsidP="00A94990">
      <w:pPr>
        <w:adjustRightInd w:val="0"/>
        <w:snapToGrid w:val="0"/>
        <w:spacing w:beforeLines="50" w:before="156" w:line="560" w:lineRule="exact"/>
        <w:ind w:firstLineChars="200" w:firstLine="640"/>
        <w:rPr>
          <w:rFonts w:ascii="彩虹黑体" w:eastAsia="彩虹黑体"/>
          <w:sz w:val="32"/>
        </w:rPr>
      </w:pPr>
      <w:r>
        <w:rPr>
          <w:rFonts w:ascii="彩虹黑体" w:eastAsia="彩虹黑体" w:hint="eastAsia"/>
          <w:sz w:val="32"/>
        </w:rPr>
        <w:t>三、省分行修订上述产品风险揭示书和产品说明书及客户问答手册</w:t>
      </w:r>
    </w:p>
    <w:p w:rsidR="00A94990" w:rsidRDefault="00A94990" w:rsidP="00A94990">
      <w:pPr>
        <w:adjustRightInd w:val="0"/>
        <w:snapToGrid w:val="0"/>
        <w:spacing w:line="560" w:lineRule="exact"/>
        <w:ind w:firstLineChars="200" w:firstLine="640"/>
        <w:rPr>
          <w:rFonts w:ascii="彩虹粗仿宋" w:eastAsia="彩虹粗仿宋"/>
          <w:sz w:val="32"/>
        </w:rPr>
      </w:pPr>
      <w:r>
        <w:rPr>
          <w:rFonts w:ascii="彩虹粗仿宋" w:eastAsia="彩虹粗仿宋" w:hint="eastAsia"/>
          <w:sz w:val="32"/>
        </w:rPr>
        <w:t>省分行相应修订上述产品风险揭示书和产品说明书及客户问答手册的相关内容。新版风险揭示书和产品说明书及客户问答手册（见附件）于2020年</w:t>
      </w:r>
      <w:r w:rsidR="007004DD">
        <w:rPr>
          <w:rFonts w:ascii="彩虹粗仿宋" w:eastAsia="彩虹粗仿宋" w:hint="eastAsia"/>
          <w:sz w:val="32"/>
        </w:rPr>
        <w:t>10</w:t>
      </w:r>
      <w:r>
        <w:rPr>
          <w:rFonts w:ascii="彩虹粗仿宋" w:eastAsia="彩虹粗仿宋" w:hint="eastAsia"/>
          <w:sz w:val="32"/>
        </w:rPr>
        <w:t>月</w:t>
      </w:r>
      <w:r w:rsidR="007004DD">
        <w:rPr>
          <w:rFonts w:ascii="彩虹粗仿宋" w:eastAsia="彩虹粗仿宋" w:hint="eastAsia"/>
          <w:sz w:val="32"/>
        </w:rPr>
        <w:t>1</w:t>
      </w:r>
      <w:r w:rsidR="00557BBD">
        <w:rPr>
          <w:rFonts w:ascii="彩虹粗仿宋" w:eastAsia="彩虹粗仿宋" w:hint="eastAsia"/>
          <w:sz w:val="32"/>
        </w:rPr>
        <w:t>6</w:t>
      </w:r>
      <w:r>
        <w:rPr>
          <w:rFonts w:ascii="彩虹粗仿宋" w:eastAsia="彩虹粗仿宋" w:hint="eastAsia"/>
          <w:sz w:val="32"/>
        </w:rPr>
        <w:t>日（含）起启用。</w:t>
      </w:r>
    </w:p>
    <w:p w:rsidR="00135D3E" w:rsidRPr="00A94990" w:rsidRDefault="00135D3E">
      <w:bookmarkStart w:id="0" w:name="_GoBack"/>
      <w:bookmarkEnd w:id="0"/>
    </w:p>
    <w:sectPr w:rsidR="00135D3E" w:rsidRPr="00A9499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12F" w:rsidRDefault="00D0012F" w:rsidP="00A94990">
      <w:r>
        <w:separator/>
      </w:r>
    </w:p>
  </w:endnote>
  <w:endnote w:type="continuationSeparator" w:id="0">
    <w:p w:rsidR="00D0012F" w:rsidRDefault="00D0012F" w:rsidP="00A94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彩虹粗仿宋">
    <w:panose1 w:val="03000509000000000000"/>
    <w:charset w:val="86"/>
    <w:family w:val="script"/>
    <w:pitch w:val="fixed"/>
    <w:sig w:usb0="00000001" w:usb1="080E0000" w:usb2="00000010" w:usb3="00000000" w:csb0="00040000" w:csb1="00000000"/>
  </w:font>
  <w:font w:name="彩虹黑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12F" w:rsidRDefault="00D0012F" w:rsidP="00A94990">
      <w:r>
        <w:separator/>
      </w:r>
    </w:p>
  </w:footnote>
  <w:footnote w:type="continuationSeparator" w:id="0">
    <w:p w:rsidR="00D0012F" w:rsidRDefault="00D0012F" w:rsidP="00A949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972"/>
    <w:rsid w:val="00021FB4"/>
    <w:rsid w:val="000329E4"/>
    <w:rsid w:val="00046E23"/>
    <w:rsid w:val="00052864"/>
    <w:rsid w:val="00053655"/>
    <w:rsid w:val="00053C02"/>
    <w:rsid w:val="0007350C"/>
    <w:rsid w:val="000A74A7"/>
    <w:rsid w:val="000B36B2"/>
    <w:rsid w:val="000B708B"/>
    <w:rsid w:val="000E58B8"/>
    <w:rsid w:val="00105995"/>
    <w:rsid w:val="00132F10"/>
    <w:rsid w:val="00135D3E"/>
    <w:rsid w:val="001665F9"/>
    <w:rsid w:val="00186018"/>
    <w:rsid w:val="001B063A"/>
    <w:rsid w:val="001D545B"/>
    <w:rsid w:val="001E02ED"/>
    <w:rsid w:val="001F4E7F"/>
    <w:rsid w:val="002040FF"/>
    <w:rsid w:val="0021380A"/>
    <w:rsid w:val="00223052"/>
    <w:rsid w:val="00224376"/>
    <w:rsid w:val="00227375"/>
    <w:rsid w:val="00230EA1"/>
    <w:rsid w:val="00231903"/>
    <w:rsid w:val="00242F8E"/>
    <w:rsid w:val="00245090"/>
    <w:rsid w:val="00253309"/>
    <w:rsid w:val="0027555F"/>
    <w:rsid w:val="00292912"/>
    <w:rsid w:val="002B7900"/>
    <w:rsid w:val="002C3F72"/>
    <w:rsid w:val="002E6542"/>
    <w:rsid w:val="00310100"/>
    <w:rsid w:val="00323CEB"/>
    <w:rsid w:val="003245C9"/>
    <w:rsid w:val="00326FCF"/>
    <w:rsid w:val="003B4684"/>
    <w:rsid w:val="003C3AFD"/>
    <w:rsid w:val="003F2F74"/>
    <w:rsid w:val="004029DF"/>
    <w:rsid w:val="00416A59"/>
    <w:rsid w:val="0042031B"/>
    <w:rsid w:val="00436798"/>
    <w:rsid w:val="00437E0D"/>
    <w:rsid w:val="004528D3"/>
    <w:rsid w:val="0048261D"/>
    <w:rsid w:val="0049044E"/>
    <w:rsid w:val="004C18F5"/>
    <w:rsid w:val="004C39BA"/>
    <w:rsid w:val="004F666E"/>
    <w:rsid w:val="00514011"/>
    <w:rsid w:val="00521CD5"/>
    <w:rsid w:val="0053232B"/>
    <w:rsid w:val="00555405"/>
    <w:rsid w:val="005571A0"/>
    <w:rsid w:val="00557BBD"/>
    <w:rsid w:val="00592E50"/>
    <w:rsid w:val="00592FFD"/>
    <w:rsid w:val="005E5D50"/>
    <w:rsid w:val="00603972"/>
    <w:rsid w:val="00621337"/>
    <w:rsid w:val="006257F8"/>
    <w:rsid w:val="00635B1E"/>
    <w:rsid w:val="0064143A"/>
    <w:rsid w:val="00664413"/>
    <w:rsid w:val="00677347"/>
    <w:rsid w:val="0068014C"/>
    <w:rsid w:val="00686C2A"/>
    <w:rsid w:val="006C7B82"/>
    <w:rsid w:val="006E799D"/>
    <w:rsid w:val="006F3A64"/>
    <w:rsid w:val="006F609B"/>
    <w:rsid w:val="007004DD"/>
    <w:rsid w:val="007006BB"/>
    <w:rsid w:val="00703D6B"/>
    <w:rsid w:val="00733CC4"/>
    <w:rsid w:val="007348B9"/>
    <w:rsid w:val="007449FC"/>
    <w:rsid w:val="007765B9"/>
    <w:rsid w:val="0078407F"/>
    <w:rsid w:val="00791223"/>
    <w:rsid w:val="007A0017"/>
    <w:rsid w:val="007E15FE"/>
    <w:rsid w:val="007E2E33"/>
    <w:rsid w:val="007E70C1"/>
    <w:rsid w:val="007E7895"/>
    <w:rsid w:val="007F297D"/>
    <w:rsid w:val="008077F4"/>
    <w:rsid w:val="00825A4B"/>
    <w:rsid w:val="00836A4A"/>
    <w:rsid w:val="0086221C"/>
    <w:rsid w:val="008A18B9"/>
    <w:rsid w:val="008A353B"/>
    <w:rsid w:val="008C5182"/>
    <w:rsid w:val="008F6DEB"/>
    <w:rsid w:val="00902682"/>
    <w:rsid w:val="00907057"/>
    <w:rsid w:val="00911CEE"/>
    <w:rsid w:val="00944E16"/>
    <w:rsid w:val="00964097"/>
    <w:rsid w:val="00975544"/>
    <w:rsid w:val="00976938"/>
    <w:rsid w:val="00987260"/>
    <w:rsid w:val="009A39F0"/>
    <w:rsid w:val="009B4A4B"/>
    <w:rsid w:val="009C2B89"/>
    <w:rsid w:val="009C6DC4"/>
    <w:rsid w:val="009C728A"/>
    <w:rsid w:val="009D08C3"/>
    <w:rsid w:val="009E03B0"/>
    <w:rsid w:val="009E26A3"/>
    <w:rsid w:val="00A03DC2"/>
    <w:rsid w:val="00A1147B"/>
    <w:rsid w:val="00A16C1F"/>
    <w:rsid w:val="00A563C5"/>
    <w:rsid w:val="00A86EA7"/>
    <w:rsid w:val="00A94990"/>
    <w:rsid w:val="00AA1381"/>
    <w:rsid w:val="00AA56ED"/>
    <w:rsid w:val="00AC3136"/>
    <w:rsid w:val="00AC5089"/>
    <w:rsid w:val="00AE4C03"/>
    <w:rsid w:val="00B12E02"/>
    <w:rsid w:val="00B23607"/>
    <w:rsid w:val="00B36CD0"/>
    <w:rsid w:val="00B449FB"/>
    <w:rsid w:val="00B758C6"/>
    <w:rsid w:val="00B90292"/>
    <w:rsid w:val="00B90C47"/>
    <w:rsid w:val="00BB00FA"/>
    <w:rsid w:val="00BC0CF4"/>
    <w:rsid w:val="00BC5AE5"/>
    <w:rsid w:val="00BC6D19"/>
    <w:rsid w:val="00C0424D"/>
    <w:rsid w:val="00C451D9"/>
    <w:rsid w:val="00C77840"/>
    <w:rsid w:val="00C8150B"/>
    <w:rsid w:val="00C9645C"/>
    <w:rsid w:val="00C96BD1"/>
    <w:rsid w:val="00CA17D6"/>
    <w:rsid w:val="00CB0ACA"/>
    <w:rsid w:val="00CE09C7"/>
    <w:rsid w:val="00CE212F"/>
    <w:rsid w:val="00CE5415"/>
    <w:rsid w:val="00CE7923"/>
    <w:rsid w:val="00CF45EB"/>
    <w:rsid w:val="00D0012F"/>
    <w:rsid w:val="00D00550"/>
    <w:rsid w:val="00D01270"/>
    <w:rsid w:val="00D325FA"/>
    <w:rsid w:val="00D3666F"/>
    <w:rsid w:val="00D41CB8"/>
    <w:rsid w:val="00D75070"/>
    <w:rsid w:val="00DA00CC"/>
    <w:rsid w:val="00DA5FCC"/>
    <w:rsid w:val="00DB628B"/>
    <w:rsid w:val="00DC3C81"/>
    <w:rsid w:val="00DC4354"/>
    <w:rsid w:val="00DD1982"/>
    <w:rsid w:val="00DE0BF1"/>
    <w:rsid w:val="00DE4056"/>
    <w:rsid w:val="00DF4152"/>
    <w:rsid w:val="00E02624"/>
    <w:rsid w:val="00E57FB7"/>
    <w:rsid w:val="00E60D90"/>
    <w:rsid w:val="00E7414E"/>
    <w:rsid w:val="00E82489"/>
    <w:rsid w:val="00EC02F8"/>
    <w:rsid w:val="00EC2B41"/>
    <w:rsid w:val="00EF7740"/>
    <w:rsid w:val="00F00363"/>
    <w:rsid w:val="00F02866"/>
    <w:rsid w:val="00F17235"/>
    <w:rsid w:val="00F50E67"/>
    <w:rsid w:val="00F56357"/>
    <w:rsid w:val="00F876C1"/>
    <w:rsid w:val="00FB4854"/>
    <w:rsid w:val="00FD6A0F"/>
    <w:rsid w:val="00FF7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9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4990"/>
    <w:rPr>
      <w:kern w:val="2"/>
      <w:sz w:val="18"/>
      <w:szCs w:val="18"/>
    </w:rPr>
  </w:style>
  <w:style w:type="paragraph" w:styleId="a4">
    <w:name w:val="footer"/>
    <w:basedOn w:val="a"/>
    <w:link w:val="Char0"/>
    <w:rsid w:val="00A94990"/>
    <w:pPr>
      <w:tabs>
        <w:tab w:val="center" w:pos="4153"/>
        <w:tab w:val="right" w:pos="8306"/>
      </w:tabs>
      <w:snapToGrid w:val="0"/>
      <w:jc w:val="left"/>
    </w:pPr>
    <w:rPr>
      <w:sz w:val="18"/>
      <w:szCs w:val="18"/>
    </w:rPr>
  </w:style>
  <w:style w:type="character" w:customStyle="1" w:styleId="Char0">
    <w:name w:val="页脚 Char"/>
    <w:basedOn w:val="a0"/>
    <w:link w:val="a4"/>
    <w:rsid w:val="00A94990"/>
    <w:rPr>
      <w:kern w:val="2"/>
      <w:sz w:val="18"/>
      <w:szCs w:val="18"/>
    </w:rPr>
  </w:style>
  <w:style w:type="paragraph" w:styleId="a5">
    <w:name w:val="Balloon Text"/>
    <w:basedOn w:val="a"/>
    <w:link w:val="Char1"/>
    <w:rsid w:val="00C451D9"/>
    <w:rPr>
      <w:sz w:val="18"/>
      <w:szCs w:val="18"/>
    </w:rPr>
  </w:style>
  <w:style w:type="character" w:customStyle="1" w:styleId="Char1">
    <w:name w:val="批注框文本 Char"/>
    <w:basedOn w:val="a0"/>
    <w:link w:val="a5"/>
    <w:rsid w:val="00C451D9"/>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49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949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94990"/>
    <w:rPr>
      <w:kern w:val="2"/>
      <w:sz w:val="18"/>
      <w:szCs w:val="18"/>
    </w:rPr>
  </w:style>
  <w:style w:type="paragraph" w:styleId="a4">
    <w:name w:val="footer"/>
    <w:basedOn w:val="a"/>
    <w:link w:val="Char0"/>
    <w:rsid w:val="00A94990"/>
    <w:pPr>
      <w:tabs>
        <w:tab w:val="center" w:pos="4153"/>
        <w:tab w:val="right" w:pos="8306"/>
      </w:tabs>
      <w:snapToGrid w:val="0"/>
      <w:jc w:val="left"/>
    </w:pPr>
    <w:rPr>
      <w:sz w:val="18"/>
      <w:szCs w:val="18"/>
    </w:rPr>
  </w:style>
  <w:style w:type="character" w:customStyle="1" w:styleId="Char0">
    <w:name w:val="页脚 Char"/>
    <w:basedOn w:val="a0"/>
    <w:link w:val="a4"/>
    <w:rsid w:val="00A94990"/>
    <w:rPr>
      <w:kern w:val="2"/>
      <w:sz w:val="18"/>
      <w:szCs w:val="18"/>
    </w:rPr>
  </w:style>
  <w:style w:type="paragraph" w:styleId="a5">
    <w:name w:val="Balloon Text"/>
    <w:basedOn w:val="a"/>
    <w:link w:val="Char1"/>
    <w:rsid w:val="00C451D9"/>
    <w:rPr>
      <w:sz w:val="18"/>
      <w:szCs w:val="18"/>
    </w:rPr>
  </w:style>
  <w:style w:type="character" w:customStyle="1" w:styleId="Char1">
    <w:name w:val="批注框文本 Char"/>
    <w:basedOn w:val="a0"/>
    <w:link w:val="a5"/>
    <w:rsid w:val="00C451D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陆思佳</dc:creator>
  <cp:keywords/>
  <dc:description/>
  <cp:lastModifiedBy>陆思佳</cp:lastModifiedBy>
  <cp:revision>25</cp:revision>
  <dcterms:created xsi:type="dcterms:W3CDTF">2020-09-29T06:54:00Z</dcterms:created>
  <dcterms:modified xsi:type="dcterms:W3CDTF">2020-10-20T06:51:00Z</dcterms:modified>
</cp:coreProperties>
</file>