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FB7323" w:rsidRPr="00FB732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“乾元—聚盈”开放式资产组合型人民币理财产品</w:t>
      </w:r>
      <w:r w:rsidR="00DD26B0" w:rsidRPr="00FB7323">
        <w:rPr>
          <w:rFonts w:asciiTheme="minorEastAsia" w:eastAsiaTheme="minorEastAsia" w:hAnsiTheme="minorEastAsia" w:hint="eastAsia"/>
          <w:b/>
          <w:sz w:val="32"/>
          <w:szCs w:val="32"/>
        </w:rPr>
        <w:t>年度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FB7323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A47C96">
        <w:rPr>
          <w:rFonts w:asciiTheme="minorEastAsia" w:eastAsiaTheme="minorEastAsia" w:hAnsiTheme="minorEastAsia" w:hint="eastAsia"/>
          <w:color w:val="000000"/>
          <w:szCs w:val="21"/>
        </w:rPr>
        <w:t>6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47C96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FB7323" w:rsidP="00FB732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“乾元—聚盈”开放式资产组合型人民币理财产品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Pr="00FB7323">
        <w:rPr>
          <w:rFonts w:asciiTheme="minorEastAsia" w:eastAsiaTheme="minorEastAsia" w:hAnsiTheme="minorEastAsia" w:hint="eastAsia"/>
          <w:color w:val="000000"/>
          <w:sz w:val="28"/>
          <w:szCs w:val="28"/>
        </w:rPr>
        <w:t>2016年9月9日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A47C96" w:rsidRPr="00A47C96">
        <w:rPr>
          <w:rFonts w:asciiTheme="minorEastAsia" w:eastAsiaTheme="minorEastAsia" w:hAnsiTheme="minorEastAsia"/>
          <w:color w:val="000000"/>
          <w:sz w:val="28"/>
          <w:szCs w:val="28"/>
        </w:rPr>
        <w:t>767,652.48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="00A47C96">
        <w:rPr>
          <w:rFonts w:asciiTheme="minorEastAsia" w:eastAsiaTheme="minorEastAsia" w:hAnsiTheme="minorEastAsia" w:hint="eastAsia"/>
          <w:color w:val="000000"/>
          <w:sz w:val="28"/>
          <w:szCs w:val="28"/>
        </w:rPr>
        <w:t>自2020年1月1日-2020年5月19日，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p w:rsidR="00FB7323" w:rsidRPr="00FB7323" w:rsidRDefault="00FB7323" w:rsidP="00FB7323">
      <w:pPr>
        <w:ind w:firstLineChars="200" w:firstLine="36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>单位：天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FB7323" w:rsidRPr="00FB7323" w:rsidTr="00572B33">
        <w:trPr>
          <w:trHeight w:val="473"/>
          <w:jc w:val="center"/>
        </w:trPr>
        <w:tc>
          <w:tcPr>
            <w:tcW w:w="1123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FB7323" w:rsidRPr="00FB7323" w:rsidTr="00572B33">
        <w:trPr>
          <w:trHeight w:val="778"/>
          <w:jc w:val="center"/>
        </w:trPr>
        <w:tc>
          <w:tcPr>
            <w:tcW w:w="1123" w:type="dxa"/>
            <w:vAlign w:val="bottom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2.5%</w:t>
            </w:r>
          </w:p>
        </w:tc>
        <w:tc>
          <w:tcPr>
            <w:tcW w:w="1051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2.7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3.00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3.20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3.30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3.50%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323" w:rsidRPr="00FB7323" w:rsidRDefault="00FB7323" w:rsidP="00FB732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3.70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FB7323" w:rsidRDefault="00FB7323" w:rsidP="00FB7323">
      <w:pPr>
        <w:spacing w:line="480" w:lineRule="exact"/>
        <w:rPr>
          <w:rFonts w:asciiTheme="minorEastAsia" w:eastAsiaTheme="minorEastAsia" w:hAnsiTheme="minorEastAsia" w:hint="eastAsia"/>
          <w:color w:val="000000"/>
          <w:sz w:val="18"/>
          <w:szCs w:val="18"/>
        </w:rPr>
      </w:pPr>
      <w:r w:rsidRPr="00FB7323">
        <w:rPr>
          <w:rFonts w:asciiTheme="minorEastAsia" w:eastAsiaTheme="minorEastAsia" w:hAnsiTheme="minorEastAsia" w:hint="eastAsia"/>
          <w:color w:val="000000"/>
          <w:sz w:val="18"/>
          <w:szCs w:val="18"/>
        </w:rPr>
        <w:t xml:space="preserve">注： T为投资期 </w:t>
      </w:r>
    </w:p>
    <w:p w:rsidR="00A47C96" w:rsidRDefault="00A47C96" w:rsidP="00A47C9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自2020年5月20日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至报告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期结束，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849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924"/>
        <w:gridCol w:w="1051"/>
        <w:gridCol w:w="988"/>
        <w:gridCol w:w="988"/>
        <w:gridCol w:w="1038"/>
        <w:gridCol w:w="1348"/>
        <w:gridCol w:w="1038"/>
      </w:tblGrid>
      <w:tr w:rsidR="00A47C96" w:rsidRPr="00FB7323" w:rsidTr="00A47C96">
        <w:trPr>
          <w:trHeight w:val="473"/>
          <w:jc w:val="center"/>
        </w:trPr>
        <w:tc>
          <w:tcPr>
            <w:tcW w:w="1123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投资期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1≤T&lt;16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16≤T&lt;32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32≤T&lt;62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62≤T&lt;92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92≤T&lt;180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180≤T&lt;270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T≥270</w:t>
            </w:r>
          </w:p>
        </w:tc>
      </w:tr>
      <w:tr w:rsidR="00A47C96" w:rsidRPr="00FB7323" w:rsidTr="00A47C96">
        <w:trPr>
          <w:trHeight w:val="778"/>
          <w:jc w:val="center"/>
        </w:trPr>
        <w:tc>
          <w:tcPr>
            <w:tcW w:w="1123" w:type="dxa"/>
            <w:vAlign w:val="bottom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投资者实际收益率</w:t>
            </w:r>
          </w:p>
        </w:tc>
        <w:tc>
          <w:tcPr>
            <w:tcW w:w="924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51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2.8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8" w:type="dxa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96" w:rsidRPr="00FB7323" w:rsidRDefault="00A47C96" w:rsidP="00A47C9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3.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 w:rsidRPr="00FB732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</w:t>
            </w:r>
            <w:r w:rsidRPr="00FB7323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%</w:t>
            </w:r>
          </w:p>
        </w:tc>
      </w:tr>
    </w:tbl>
    <w:p w:rsidR="00A47C96" w:rsidRPr="00A47C96" w:rsidRDefault="00A47C96" w:rsidP="00FB7323">
      <w:pPr>
        <w:spacing w:line="480" w:lineRule="exact"/>
        <w:rPr>
          <w:rFonts w:asciiTheme="minorEastAsia" w:eastAsiaTheme="minorEastAsia" w:hAnsiTheme="minorEastAsia"/>
          <w:color w:val="000000"/>
          <w:sz w:val="18"/>
          <w:szCs w:val="18"/>
        </w:rPr>
      </w:pP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F0DB2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省分行</w:t>
            </w:r>
          </w:p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“乾元—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聚盈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”开放式资产组合型人民币理财产品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EF0DB2" w:rsidRDefault="00EF0DB2" w:rsidP="00572B33">
            <w:pPr>
              <w:jc w:val="center"/>
            </w:pP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201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0656FD">
              <w:rPr>
                <w:rFonts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6" w:type="dxa"/>
            <w:vAlign w:val="center"/>
          </w:tcPr>
          <w:p w:rsidR="00EF0DB2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无固定期限</w:t>
            </w:r>
          </w:p>
          <w:p w:rsidR="00EF0DB2" w:rsidRPr="002C0D87" w:rsidRDefault="00EF0DB2" w:rsidP="00572B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中国建设银行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省分</w:t>
            </w:r>
            <w:r w:rsidRPr="000656FD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行有权提前终止产品。</w:t>
            </w:r>
          </w:p>
        </w:tc>
      </w:tr>
    </w:tbl>
    <w:p w:rsidR="00EF0DB2" w:rsidRP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理财产品管理人：中国建设银行浙江省分行</w:t>
      </w:r>
    </w:p>
    <w:p w:rsidR="00EF0DB2" w:rsidRDefault="00EF0DB2" w:rsidP="00EF0DB2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F0DB2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理财产品托管人：中国建设银行浙江省分行</w:t>
      </w:r>
    </w:p>
    <w:p w:rsidR="005204A8" w:rsidRDefault="005204A8" w:rsidP="00EF0DB2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20"/>
        <w:gridCol w:w="1740"/>
        <w:gridCol w:w="1418"/>
        <w:gridCol w:w="1842"/>
      </w:tblGrid>
      <w:tr w:rsidR="005204A8" w:rsidTr="00311E4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52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740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81916.72</w:t>
            </w:r>
          </w:p>
        </w:tc>
        <w:tc>
          <w:tcPr>
            <w:tcW w:w="1740" w:type="dxa"/>
            <w:vAlign w:val="center"/>
          </w:tcPr>
          <w:p w:rsidR="008048AE" w:rsidRDefault="008048AE" w:rsidP="008048A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6.85</w:t>
            </w: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81916.72</w:t>
            </w: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6.85</w:t>
            </w: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520" w:type="dxa"/>
            <w:vAlign w:val="center"/>
          </w:tcPr>
          <w:p w:rsidR="008048AE" w:rsidRDefault="008048AE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309616.14</w:t>
            </w:r>
          </w:p>
        </w:tc>
        <w:tc>
          <w:tcPr>
            <w:tcW w:w="1740" w:type="dxa"/>
            <w:vAlign w:val="center"/>
          </w:tcPr>
          <w:p w:rsidR="008048AE" w:rsidRDefault="008048AE" w:rsidP="003E6CDF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25.92</w:t>
            </w: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309616.14</w:t>
            </w: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25.92</w:t>
            </w: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520" w:type="dxa"/>
            <w:vAlign w:val="center"/>
          </w:tcPr>
          <w:p w:rsidR="008048AE" w:rsidRDefault="008048AE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472473.01</w:t>
            </w: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39.55</w:t>
            </w: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472473.01</w:t>
            </w: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39.55</w:t>
            </w: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520" w:type="dxa"/>
            <w:vAlign w:val="center"/>
          </w:tcPr>
          <w:p w:rsidR="008048AE" w:rsidRDefault="008048AE" w:rsidP="003E6CDF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306</w:t>
            </w:r>
            <w:r w:rsidRPr="000C33A9">
              <w:rPr>
                <w:rFonts w:ascii="宋体" w:hAnsi="宋体" w:cs="宋体"/>
                <w:kern w:val="0"/>
              </w:rPr>
              <w:t>98.88</w:t>
            </w: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27.68</w:t>
            </w: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0C33A9">
              <w:rPr>
                <w:rFonts w:ascii="宋体" w:hAnsi="宋体" w:cs="宋体"/>
                <w:kern w:val="0"/>
              </w:rPr>
              <w:t>3</w:t>
            </w:r>
            <w:r>
              <w:rPr>
                <w:rFonts w:ascii="宋体" w:hAnsi="宋体" w:cs="宋体" w:hint="eastAsia"/>
                <w:kern w:val="0"/>
              </w:rPr>
              <w:t>306</w:t>
            </w:r>
            <w:r w:rsidRPr="000C33A9">
              <w:rPr>
                <w:rFonts w:ascii="宋体" w:hAnsi="宋体" w:cs="宋体"/>
                <w:kern w:val="0"/>
              </w:rPr>
              <w:t>98.88</w:t>
            </w: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27.68</w:t>
            </w: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311E4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520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048AE" w:rsidTr="00A47C96">
        <w:trPr>
          <w:trHeight w:val="285"/>
          <w:jc w:val="center"/>
        </w:trPr>
        <w:tc>
          <w:tcPr>
            <w:tcW w:w="2547" w:type="dxa"/>
            <w:vAlign w:val="center"/>
          </w:tcPr>
          <w:p w:rsidR="008048AE" w:rsidRDefault="008048AE" w:rsidP="00572B33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520" w:type="dxa"/>
            <w:vAlign w:val="center"/>
          </w:tcPr>
          <w:p w:rsidR="008048AE" w:rsidRDefault="008048AE" w:rsidP="008048AE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194704.75</w:t>
            </w:r>
          </w:p>
        </w:tc>
        <w:tc>
          <w:tcPr>
            <w:tcW w:w="1740" w:type="dxa"/>
            <w:vAlign w:val="center"/>
          </w:tcPr>
          <w:p w:rsidR="008048AE" w:rsidRDefault="008048AE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8048AE" w:rsidRDefault="008048AE" w:rsidP="00D33528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11E4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194704.75</w:t>
            </w:r>
          </w:p>
        </w:tc>
        <w:tc>
          <w:tcPr>
            <w:tcW w:w="1842" w:type="dxa"/>
            <w:vAlign w:val="center"/>
          </w:tcPr>
          <w:p w:rsidR="008048AE" w:rsidRDefault="008048AE" w:rsidP="00D3352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72B33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72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浙江</w:t>
            </w:r>
            <w:r w:rsidRPr="00796145">
              <w:rPr>
                <w:rFonts w:hint="eastAsia"/>
              </w:rPr>
              <w:t>-</w:t>
            </w:r>
            <w:r w:rsidRPr="00796145">
              <w:rPr>
                <w:rFonts w:hint="eastAsia"/>
              </w:rPr>
              <w:t>建信基金现金添利</w:t>
            </w:r>
            <w:r w:rsidRPr="00796145">
              <w:rPr>
                <w:rFonts w:hint="eastAsia"/>
              </w:rPr>
              <w:t>B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1300000000.00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11.86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浙江</w:t>
            </w:r>
            <w:r w:rsidRPr="00796145">
              <w:rPr>
                <w:rFonts w:hint="eastAsia"/>
              </w:rPr>
              <w:t>-</w:t>
            </w:r>
            <w:r w:rsidRPr="00796145">
              <w:rPr>
                <w:rFonts w:hint="eastAsia"/>
              </w:rPr>
              <w:t>华宝现金添益</w:t>
            </w:r>
            <w:r w:rsidRPr="00796145">
              <w:rPr>
                <w:rFonts w:hint="eastAsia"/>
              </w:rPr>
              <w:t>B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1000000000.00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9.13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浙江</w:t>
            </w:r>
            <w:r w:rsidRPr="00796145">
              <w:rPr>
                <w:rFonts w:hint="eastAsia"/>
              </w:rPr>
              <w:t>-</w:t>
            </w:r>
            <w:r w:rsidRPr="00796145">
              <w:rPr>
                <w:rFonts w:hint="eastAsia"/>
              </w:rPr>
              <w:t>建信基金现金增利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1000000000.00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9.13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18</w:t>
            </w:r>
            <w:r w:rsidRPr="00796145">
              <w:rPr>
                <w:rFonts w:hint="eastAsia"/>
              </w:rPr>
              <w:t>农业银行二级</w:t>
            </w:r>
            <w:r w:rsidRPr="00796145">
              <w:rPr>
                <w:rFonts w:hint="eastAsia"/>
              </w:rPr>
              <w:t>01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700,000,000.00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6.39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17</w:t>
            </w:r>
            <w:r w:rsidRPr="00796145">
              <w:rPr>
                <w:rFonts w:hint="eastAsia"/>
              </w:rPr>
              <w:t>农业银行二级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350,000,000.00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3.19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17</w:t>
            </w:r>
            <w:r w:rsidRPr="00796145">
              <w:rPr>
                <w:rFonts w:hint="eastAsia"/>
              </w:rPr>
              <w:t>浙上虞经开</w:t>
            </w:r>
            <w:r w:rsidRPr="00796145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344,137,656.41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3.14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17</w:t>
            </w:r>
            <w:r w:rsidRPr="00796145">
              <w:rPr>
                <w:rFonts w:hint="eastAsia"/>
              </w:rPr>
              <w:t>浙温州城投</w:t>
            </w:r>
            <w:r w:rsidRPr="00796145">
              <w:rPr>
                <w:rFonts w:hint="eastAsia"/>
              </w:rPr>
              <w:t>AB003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261,577,750.73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2.39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18</w:t>
            </w:r>
            <w:r w:rsidRPr="00796145">
              <w:rPr>
                <w:rFonts w:hint="eastAsia"/>
              </w:rPr>
              <w:t>浙平湖新农村</w:t>
            </w:r>
            <w:r w:rsidRPr="00796145">
              <w:rPr>
                <w:rFonts w:hint="eastAsia"/>
              </w:rPr>
              <w:t>AB001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250,000,000.00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2.28 </w:t>
            </w:r>
          </w:p>
        </w:tc>
      </w:tr>
      <w:tr w:rsidR="00F541A1" w:rsidRPr="00437C59" w:rsidTr="00572B33">
        <w:trPr>
          <w:trHeight w:val="496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17</w:t>
            </w:r>
            <w:r w:rsidRPr="00796145">
              <w:rPr>
                <w:rFonts w:hint="eastAsia"/>
              </w:rPr>
              <w:t>浙新昌城镇</w:t>
            </w:r>
            <w:r w:rsidRPr="00796145">
              <w:rPr>
                <w:rFonts w:hint="eastAsia"/>
              </w:rPr>
              <w:t>AB002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250,000,000.00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2.28 </w:t>
            </w:r>
          </w:p>
        </w:tc>
      </w:tr>
      <w:tr w:rsidR="00F541A1" w:rsidRPr="00437C59" w:rsidTr="00572B33">
        <w:trPr>
          <w:trHeight w:val="561"/>
          <w:jc w:val="center"/>
        </w:trPr>
        <w:tc>
          <w:tcPr>
            <w:tcW w:w="1349" w:type="dxa"/>
            <w:vAlign w:val="center"/>
          </w:tcPr>
          <w:p w:rsidR="00F541A1" w:rsidRPr="00C720CE" w:rsidRDefault="00F541A1" w:rsidP="00572B3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>18</w:t>
            </w:r>
            <w:r w:rsidRPr="00796145">
              <w:rPr>
                <w:rFonts w:hint="eastAsia"/>
              </w:rPr>
              <w:t>天津银行二级</w:t>
            </w:r>
          </w:p>
        </w:tc>
        <w:tc>
          <w:tcPr>
            <w:tcW w:w="1841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 250,000,000.00 </w:t>
            </w:r>
          </w:p>
        </w:tc>
        <w:tc>
          <w:tcPr>
            <w:tcW w:w="1859" w:type="dxa"/>
          </w:tcPr>
          <w:p w:rsidR="00F541A1" w:rsidRPr="00796145" w:rsidRDefault="00F541A1" w:rsidP="00C546E0">
            <w:pPr>
              <w:rPr>
                <w:rFonts w:hint="eastAsia"/>
              </w:rPr>
            </w:pPr>
            <w:r w:rsidRPr="00796145">
              <w:rPr>
                <w:rFonts w:hint="eastAsia"/>
              </w:rPr>
              <w:t xml:space="preserve">2.28 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72B33">
        <w:tc>
          <w:tcPr>
            <w:tcW w:w="8522" w:type="dxa"/>
          </w:tcPr>
          <w:p w:rsidR="00576002" w:rsidRPr="00576002" w:rsidRDefault="00CF0298" w:rsidP="00CF0298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申赎时间</w:t>
            </w:r>
            <w:proofErr w:type="gramEnd"/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合理调整流动性资产配置，以满足产品的流动性资金需求，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可控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72B33">
        <w:tc>
          <w:tcPr>
            <w:tcW w:w="8522" w:type="dxa"/>
          </w:tcPr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我行作为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“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中国建设银行浙江省分行“乾元-聚盈”（按日）开放式资产组合型人民币理财产品</w:t>
            </w:r>
            <w:proofErr w:type="gramStart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”</w:t>
            </w:r>
            <w:proofErr w:type="gramEnd"/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(简称“乾元-聚盈”理财产品)的托管人，依据相关规章的约定，履行托管人职责。现将2020年1月 1日至2020年</w:t>
            </w:r>
            <w:r w:rsidR="00391BB6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6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月3</w:t>
            </w:r>
            <w:r w:rsidR="00391BB6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0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日期间“乾元-聚盈”理财产品的托管情况报告如下。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一、报告期末“乾元-聚盈” 理财产品资产分布形态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报告期末资产分布形态分布为活期存款、同业存款、债券资产、货币基金及高收益资产等，期末资产规模 为 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767652.48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万元。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二、报告期“乾元-聚盈” 理财产品开展投资情况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lastRenderedPageBreak/>
              <w:t>期间累计投资债券资产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10.42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亿元，货币基金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31.17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亿元，高收益资产 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54.64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亿元。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 xml:space="preserve">三、报告期“乾元-聚盈”理财产品承担费用的情况 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期间支付托管费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2573543.56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元，支付销售费用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15441261.38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元。支付管理费</w:t>
            </w:r>
            <w:r w:rsidR="00391BB6" w:rsidRPr="00391BB6">
              <w:rPr>
                <w:rFonts w:ascii="彩虹粗仿宋" w:eastAsia="彩虹粗仿宋"/>
                <w:color w:val="000000"/>
                <w:sz w:val="28"/>
                <w:szCs w:val="28"/>
              </w:rPr>
              <w:t>98603623.62</w:t>
            </w: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元。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四、报告期产品设立机构履行受托职责的情况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产品设立机构在对理财产品财产受托过程中，严格遵守《中华人民共和国商业银行法》等国家法律法规及其他相关规定，诚实信用、勤勉尽责地履行了受托人职责。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五、报告期托管服务提供部门履行托管职责的情况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托管分中心在对理财产品财产托管过程中，严格遵守《中华人民共和国商业银行法》等国家法律法规及其他相关规定，诚实信用、勤勉尽责地履行了托管人职责，不存在任何违反法律法规、理财产品文件损害本理财产品投资者利益的行为。</w:t>
            </w:r>
          </w:p>
          <w:p w:rsidR="00E03A0F" w:rsidRPr="00E03A0F" w:rsidRDefault="00E03A0F" w:rsidP="00E03A0F">
            <w:pPr>
              <w:spacing w:before="156" w:after="156" w:line="360" w:lineRule="auto"/>
              <w:ind w:rightChars="-19" w:right="-40"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六、报告期发生的“乾元-聚盈”理财产品相关的其他重大事项：无</w:t>
            </w:r>
          </w:p>
          <w:p w:rsidR="005204A8" w:rsidRPr="00D73589" w:rsidRDefault="00E03A0F" w:rsidP="00E03A0F">
            <w:pPr>
              <w:spacing w:line="360" w:lineRule="auto"/>
              <w:ind w:firstLineChars="150" w:firstLine="420"/>
              <w:rPr>
                <w:rFonts w:ascii="彩虹粗仿宋" w:eastAsia="彩虹粗仿宋"/>
                <w:color w:val="000000"/>
                <w:sz w:val="28"/>
                <w:szCs w:val="28"/>
              </w:rPr>
            </w:pPr>
            <w:r w:rsidRPr="00E03A0F">
              <w:rPr>
                <w:rFonts w:ascii="彩虹粗仿宋" w:eastAsia="彩虹粗仿宋" w:hint="eastAsia"/>
                <w:color w:val="000000"/>
                <w:sz w:val="28"/>
                <w:szCs w:val="28"/>
              </w:rPr>
              <w:t>以上情况，特此报告。</w:t>
            </w:r>
          </w:p>
        </w:tc>
      </w:tr>
    </w:tbl>
    <w:p w:rsidR="00CF0298" w:rsidRDefault="00CF0298" w:rsidP="00CF029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CF0298" w:rsidTr="00572B33">
        <w:trPr>
          <w:trHeight w:val="285"/>
          <w:jc w:val="center"/>
        </w:trPr>
        <w:tc>
          <w:tcPr>
            <w:tcW w:w="780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CF0298" w:rsidRDefault="00CF0298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CF0298" w:rsidP="004935F0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3B5CC6" w:rsidRDefault="00005F25" w:rsidP="007B543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无</w:t>
            </w: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RPr="00005F25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7B5435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napToGrid w:val="0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54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  <w:tc>
          <w:tcPr>
            <w:tcW w:w="1560" w:type="dxa"/>
          </w:tcPr>
          <w:p w:rsidR="003B5CC6" w:rsidRPr="00005F25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</w:rPr>
            </w:pPr>
          </w:p>
        </w:tc>
      </w:tr>
      <w:tr w:rsidR="003B5CC6" w:rsidTr="00005F25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3B5CC6" w:rsidRDefault="003B5CC6" w:rsidP="00572B3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572B33">
        <w:tc>
          <w:tcPr>
            <w:tcW w:w="8522" w:type="dxa"/>
          </w:tcPr>
          <w:p w:rsidR="003B5CC6" w:rsidRDefault="004159F3" w:rsidP="00572B33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3B5CC6" w:rsidRPr="00E028E0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CF0298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9A5DB2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</w:t>
      </w:r>
      <w:r w:rsid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基本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正常运营，</w:t>
      </w:r>
      <w:r w:rsidR="009A5DB2" w:rsidRPr="009A5DB2">
        <w:rPr>
          <w:rFonts w:asciiTheme="minorEastAsia" w:eastAsiaTheme="minorEastAsia" w:hAnsiTheme="minorEastAsia" w:hint="eastAsia"/>
          <w:color w:val="000000"/>
          <w:sz w:val="28"/>
          <w:szCs w:val="28"/>
        </w:rPr>
        <w:t>个别项目未能正常完全还本付息，但不影响按预期收益兑付客户。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0808AD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A72F7">
        <w:rPr>
          <w:rFonts w:asciiTheme="minorEastAsia" w:eastAsiaTheme="minorEastAsia" w:hAnsiTheme="minorEastAsia" w:hint="eastAsia"/>
          <w:color w:val="000000"/>
          <w:sz w:val="28"/>
          <w:szCs w:val="28"/>
        </w:rPr>
        <w:t>8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A72F7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77323D" w:rsidRDefault="0077323D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65D61" w:rsidP="005204A8">
      <w:pPr>
        <w:jc w:val="center"/>
        <w:rPr>
          <w:b/>
          <w:color w:val="000000"/>
          <w:sz w:val="24"/>
          <w:szCs w:val="24"/>
        </w:rPr>
      </w:pPr>
      <w:r w:rsidRPr="00665D61">
        <w:rPr>
          <w:rFonts w:hint="eastAsia"/>
          <w:b/>
          <w:color w:val="000000"/>
          <w:sz w:val="24"/>
          <w:szCs w:val="24"/>
        </w:rPr>
        <w:t>“乾元—聚盈”开放式资产组合型人民币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65D61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391BB6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391BB6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25422F" w:rsidRPr="0025422F">
        <w:rPr>
          <w:rFonts w:ascii="宋体" w:hAnsi="宋体" w:hint="eastAsia"/>
          <w:color w:val="000000"/>
          <w:szCs w:val="21"/>
        </w:rPr>
        <w:t>“乾元—聚盈”开放式资产组合型人民币</w:t>
      </w:r>
      <w:r>
        <w:rPr>
          <w:rFonts w:ascii="宋体" w:hAnsi="宋体" w:hint="eastAsia"/>
          <w:color w:val="000000"/>
          <w:szCs w:val="21"/>
        </w:rPr>
        <w:t>理财产品投资非标准化债权</w:t>
      </w:r>
      <w:r w:rsidR="00AB47C5">
        <w:rPr>
          <w:rFonts w:ascii="宋体" w:hAnsi="宋体" w:hint="eastAsia"/>
          <w:color w:val="000000"/>
          <w:szCs w:val="21"/>
        </w:rPr>
        <w:t>及股权</w:t>
      </w:r>
      <w:r>
        <w:rPr>
          <w:rFonts w:ascii="宋体" w:hAnsi="宋体" w:hint="eastAsia"/>
          <w:color w:val="000000"/>
          <w:szCs w:val="21"/>
        </w:rPr>
        <w:t>类资产清单披露如下：</w:t>
      </w:r>
    </w:p>
    <w:tbl>
      <w:tblPr>
        <w:tblW w:w="5053" w:type="pct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270"/>
        <w:gridCol w:w="1560"/>
        <w:gridCol w:w="753"/>
        <w:gridCol w:w="944"/>
      </w:tblGrid>
      <w:tr w:rsidR="00CF0298" w:rsidTr="00197C1C">
        <w:trPr>
          <w:trHeight w:val="765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72B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proofErr w:type="gramStart"/>
            <w:r w:rsidRPr="00DF3A1C">
              <w:rPr>
                <w:rFonts w:hint="eastAsia"/>
              </w:rPr>
              <w:t>杭州中冶名</w:t>
            </w:r>
            <w:proofErr w:type="gramEnd"/>
            <w:r w:rsidRPr="00DF3A1C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proofErr w:type="gramStart"/>
            <w:r w:rsidRPr="00DF3A1C">
              <w:rPr>
                <w:rFonts w:hint="eastAsia"/>
              </w:rPr>
              <w:t>浙杭中冶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104.00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新昌县城东城镇建设有限公司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浙新昌城镇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1310.00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r w:rsidRPr="00DF3A1C">
              <w:rPr>
                <w:rFonts w:hint="eastAsia"/>
              </w:rPr>
              <w:t>浙柯桥经开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101.00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proofErr w:type="gramStart"/>
            <w:r w:rsidRPr="00DF3A1C">
              <w:rPr>
                <w:rFonts w:hint="eastAsia"/>
              </w:rPr>
              <w:t>杭州中冶名</w:t>
            </w:r>
            <w:proofErr w:type="gramEnd"/>
            <w:r w:rsidRPr="00DF3A1C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proofErr w:type="gramStart"/>
            <w:r w:rsidRPr="00DF3A1C">
              <w:rPr>
                <w:rFonts w:hint="eastAsia"/>
              </w:rPr>
              <w:t>浙杭中冶</w:t>
            </w:r>
            <w:proofErr w:type="gramEnd"/>
            <w:r w:rsidRPr="00DF3A1C">
              <w:rPr>
                <w:rFonts w:hint="eastAsia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浙江</w:t>
            </w:r>
            <w:proofErr w:type="gramStart"/>
            <w:r w:rsidRPr="00DF3A1C">
              <w:rPr>
                <w:rFonts w:hint="eastAsia"/>
              </w:rPr>
              <w:t>湖州临杭城镇</w:t>
            </w:r>
            <w:proofErr w:type="gramEnd"/>
            <w:r w:rsidRPr="00DF3A1C">
              <w:rPr>
                <w:rFonts w:hint="eastAsia"/>
              </w:rPr>
              <w:t>化建设有限公司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</w:t>
            </w:r>
            <w:proofErr w:type="gramStart"/>
            <w:r w:rsidRPr="00DF3A1C">
              <w:rPr>
                <w:rFonts w:hint="eastAsia"/>
              </w:rPr>
              <w:t>湖州临杭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1704.00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丽水</w:t>
            </w:r>
            <w:proofErr w:type="gramStart"/>
            <w:r w:rsidRPr="00DF3A1C">
              <w:rPr>
                <w:rFonts w:hint="eastAsia"/>
              </w:rPr>
              <w:t>市莲都区</w:t>
            </w:r>
            <w:proofErr w:type="gramEnd"/>
            <w:r w:rsidRPr="00DF3A1C">
              <w:rPr>
                <w:rFonts w:hint="eastAsia"/>
              </w:rPr>
              <w:t>水利开发建设有限公司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16</w:t>
            </w:r>
            <w:proofErr w:type="gramStart"/>
            <w:r w:rsidRPr="00DF3A1C">
              <w:rPr>
                <w:rFonts w:hint="eastAsia"/>
              </w:rPr>
              <w:t>浙莲都</w:t>
            </w:r>
            <w:proofErr w:type="gramEnd"/>
            <w:r w:rsidRPr="00DF3A1C">
              <w:rPr>
                <w:rFonts w:hint="eastAsia"/>
              </w:rPr>
              <w:t>水发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830.00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永嘉县三江新城开发投资有限公司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proofErr w:type="gramStart"/>
            <w:r w:rsidRPr="00DF3A1C">
              <w:rPr>
                <w:rFonts w:hint="eastAsia"/>
              </w:rPr>
              <w:t>浙温三江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长兴广播电视台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浙长兴广电</w:t>
            </w:r>
            <w:r w:rsidRPr="00DF3A1C">
              <w:rPr>
                <w:rFonts w:hint="eastAsia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480.00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磐安县交通实业有限公司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浙磐安交通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213.00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proofErr w:type="gramStart"/>
            <w:r w:rsidRPr="00DF3A1C">
              <w:rPr>
                <w:rFonts w:hint="eastAsia"/>
              </w:rPr>
              <w:t>杭州中冶名</w:t>
            </w:r>
            <w:proofErr w:type="gramEnd"/>
            <w:r w:rsidRPr="00DF3A1C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proofErr w:type="gramStart"/>
            <w:r w:rsidRPr="00DF3A1C">
              <w:rPr>
                <w:rFonts w:hint="eastAsia"/>
              </w:rPr>
              <w:t>浙杭中冶</w:t>
            </w:r>
            <w:proofErr w:type="gramEnd"/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104.00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桐乡市崇福两新建设开发有限公司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浙桐乡两新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923.00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舟山市定海城区建设开发有限</w:t>
            </w:r>
            <w:r w:rsidRPr="00DF3A1C">
              <w:rPr>
                <w:rFonts w:hint="eastAsia"/>
              </w:rPr>
              <w:lastRenderedPageBreak/>
              <w:t>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lastRenderedPageBreak/>
              <w:t>19</w:t>
            </w:r>
            <w:r w:rsidRPr="00DF3A1C">
              <w:rPr>
                <w:rFonts w:hint="eastAsia"/>
              </w:rPr>
              <w:t>浙舟定海城开</w:t>
            </w:r>
            <w:r w:rsidRPr="00DF3A1C">
              <w:rPr>
                <w:rFonts w:hint="eastAsia"/>
              </w:rPr>
              <w:lastRenderedPageBreak/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lastRenderedPageBreak/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lastRenderedPageBreak/>
              <w:t>平湖市新农村安居房开发有限公司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浙平湖新农村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964.00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浙上虞经开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2646.00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桐乡市水</w:t>
            </w:r>
            <w:proofErr w:type="gramStart"/>
            <w:r w:rsidRPr="00DF3A1C">
              <w:rPr>
                <w:rFonts w:hint="eastAsia"/>
              </w:rPr>
              <w:t>务</w:t>
            </w:r>
            <w:proofErr w:type="gramEnd"/>
            <w:r w:rsidRPr="00DF3A1C">
              <w:rPr>
                <w:rFonts w:hint="eastAsia"/>
              </w:rPr>
              <w:t>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浙桐乡水</w:t>
            </w:r>
            <w:proofErr w:type="gramStart"/>
            <w:r w:rsidRPr="00DF3A1C">
              <w:rPr>
                <w:rFonts w:hint="eastAsia"/>
              </w:rPr>
              <w:t>务</w:t>
            </w:r>
            <w:proofErr w:type="gramEnd"/>
            <w:r w:rsidRPr="00DF3A1C">
              <w:rPr>
                <w:rFonts w:hint="eastAsia"/>
              </w:rPr>
              <w:t>EF001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1682.00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温州市鹿城城市发展有限公司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16</w:t>
            </w:r>
            <w:proofErr w:type="gramStart"/>
            <w:r w:rsidRPr="00DF3A1C">
              <w:rPr>
                <w:rFonts w:hint="eastAsia"/>
              </w:rPr>
              <w:t>浙鹿城</w:t>
            </w:r>
            <w:proofErr w:type="gramEnd"/>
            <w:r w:rsidRPr="00DF3A1C">
              <w:rPr>
                <w:rFonts w:hint="eastAsia"/>
              </w:rPr>
              <w:t>发展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495.00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铁牛集团有限公司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浙金铁牛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资产及利息均已逾期超过</w:t>
            </w:r>
            <w:r w:rsidRPr="00DF3A1C">
              <w:rPr>
                <w:rFonts w:hint="eastAsia"/>
              </w:rPr>
              <w:t>90</w:t>
            </w:r>
            <w:r w:rsidRPr="00DF3A1C">
              <w:rPr>
                <w:rFonts w:hint="eastAsia"/>
              </w:rPr>
              <w:t>天，不影响产品正常兑付。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湖州新城公用工程有限公司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浙湖新城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242.00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proofErr w:type="gramStart"/>
            <w:r w:rsidRPr="00DF3A1C">
              <w:rPr>
                <w:rFonts w:hint="eastAsia"/>
              </w:rPr>
              <w:t>杭州中冶名</w:t>
            </w:r>
            <w:proofErr w:type="gramEnd"/>
            <w:r w:rsidRPr="00DF3A1C">
              <w:rPr>
                <w:rFonts w:hint="eastAsia"/>
              </w:rPr>
              <w:t>泽房地产开发有限公司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proofErr w:type="gramStart"/>
            <w:r w:rsidRPr="00DF3A1C">
              <w:rPr>
                <w:rFonts w:hint="eastAsia"/>
              </w:rPr>
              <w:t>浙杭中冶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104.00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浦江县金狮湖建设发展有限公司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r w:rsidRPr="00DF3A1C">
              <w:rPr>
                <w:rFonts w:hint="eastAsia"/>
              </w:rPr>
              <w:t>浙浦江金建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71.00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温州市鹿城城市发展有限公司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浙鹿城</w:t>
            </w:r>
            <w:proofErr w:type="gramEnd"/>
            <w:r w:rsidRPr="00DF3A1C">
              <w:rPr>
                <w:rFonts w:hint="eastAsia"/>
              </w:rPr>
              <w:t>发展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495.00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杭州未来科技城建设有限公司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浙杭未来</w:t>
            </w:r>
            <w:proofErr w:type="gramEnd"/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515.00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温州生态园开发建设投资集团有限公司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浙温州生态园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123.00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新昌县城东城镇建设有限公司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浙新昌城镇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1310.00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舟山市普陀建设投资有限公司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</w:t>
            </w:r>
            <w:proofErr w:type="gramStart"/>
            <w:r w:rsidRPr="00DF3A1C">
              <w:rPr>
                <w:rFonts w:hint="eastAsia"/>
              </w:rPr>
              <w:t>普陀建投</w:t>
            </w:r>
            <w:proofErr w:type="gramEnd"/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619.00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舟山市普陀建设投资有限公司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</w:t>
            </w:r>
            <w:proofErr w:type="gramStart"/>
            <w:r w:rsidRPr="00DF3A1C">
              <w:rPr>
                <w:rFonts w:hint="eastAsia"/>
              </w:rPr>
              <w:t>普陀建投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619.00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绍兴市越城区古城更新投资有限公司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浙绍兴古城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4143.00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平湖市曹桥街道村镇建设开发有限责任公司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</w:t>
            </w:r>
            <w:proofErr w:type="gramStart"/>
            <w:r w:rsidRPr="00DF3A1C">
              <w:rPr>
                <w:rFonts w:hint="eastAsia"/>
              </w:rPr>
              <w:t>平湖曹桥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1988.00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r w:rsidRPr="00DF3A1C">
              <w:rPr>
                <w:rFonts w:hint="eastAsia"/>
              </w:rPr>
              <w:t>浙柯桥经开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101.00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嘉兴湘</w:t>
            </w:r>
            <w:proofErr w:type="gramStart"/>
            <w:r w:rsidRPr="00DF3A1C">
              <w:rPr>
                <w:rFonts w:hint="eastAsia"/>
              </w:rPr>
              <w:t>家荡投资</w:t>
            </w:r>
            <w:proofErr w:type="gramEnd"/>
            <w:r w:rsidRPr="00DF3A1C">
              <w:rPr>
                <w:rFonts w:hint="eastAsia"/>
              </w:rPr>
              <w:t>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proofErr w:type="gramStart"/>
            <w:r w:rsidRPr="00DF3A1C">
              <w:rPr>
                <w:rFonts w:hint="eastAsia"/>
              </w:rPr>
              <w:t>浙湘家荡投资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121.00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湖州吴兴东部新农村建设投资</w:t>
            </w:r>
            <w:r w:rsidRPr="00DF3A1C">
              <w:rPr>
                <w:rFonts w:hint="eastAsia"/>
              </w:rPr>
              <w:lastRenderedPageBreak/>
              <w:t>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lastRenderedPageBreak/>
              <w:t>17</w:t>
            </w:r>
            <w:r w:rsidRPr="00DF3A1C">
              <w:rPr>
                <w:rFonts w:hint="eastAsia"/>
              </w:rPr>
              <w:t>浙吴兴东部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0D5459" w:rsidRDefault="003E1F2F" w:rsidP="00F4740F">
            <w:pPr>
              <w:rPr>
                <w:rFonts w:hint="eastAsia"/>
              </w:rPr>
            </w:pPr>
            <w:r w:rsidRPr="000D5459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537.0</w:t>
            </w:r>
            <w:r w:rsidRPr="00DF3A1C">
              <w:rPr>
                <w:rFonts w:hint="eastAsia"/>
              </w:rPr>
              <w:lastRenderedPageBreak/>
              <w:t xml:space="preserve">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lastRenderedPageBreak/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lastRenderedPageBreak/>
              <w:t>杭州未来科技城建设有限公司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浙杭未来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515.00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浙温州城投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578.00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温岭市国有资产投资集团有限公司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浙台温岭国投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573.00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新昌县梅</w:t>
            </w:r>
            <w:proofErr w:type="gramStart"/>
            <w:r w:rsidRPr="00DF3A1C">
              <w:rPr>
                <w:rFonts w:hint="eastAsia"/>
              </w:rPr>
              <w:t>渚</w:t>
            </w:r>
            <w:proofErr w:type="gramEnd"/>
            <w:r w:rsidRPr="00DF3A1C">
              <w:rPr>
                <w:rFonts w:hint="eastAsia"/>
              </w:rPr>
              <w:t>新城（新村）建设投资有限公司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浙梅</w:t>
            </w:r>
            <w:proofErr w:type="gramStart"/>
            <w:r w:rsidRPr="00DF3A1C">
              <w:rPr>
                <w:rFonts w:hint="eastAsia"/>
              </w:rPr>
              <w:t>渚</w:t>
            </w:r>
            <w:proofErr w:type="gramEnd"/>
            <w:r w:rsidRPr="00DF3A1C">
              <w:rPr>
                <w:rFonts w:hint="eastAsia"/>
              </w:rPr>
              <w:t>新城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513.00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浙温州城投</w:t>
            </w:r>
            <w:r w:rsidRPr="00DF3A1C">
              <w:rPr>
                <w:rFonts w:hint="eastAsia"/>
              </w:rPr>
              <w:t>AB003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657.00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桐庐县交通发展集团有限公司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浙桐庐交投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549.00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德清联创科技新城建设有限公司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浙德清联创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1604.00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杭州临江投资发展有限公司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proofErr w:type="gramStart"/>
            <w:r w:rsidRPr="00DF3A1C">
              <w:rPr>
                <w:rFonts w:hint="eastAsia"/>
              </w:rPr>
              <w:t>浙杭临江</w:t>
            </w:r>
            <w:proofErr w:type="gramEnd"/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881.00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东阳长城影视传媒有限公司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浙东阳长城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  <w:bookmarkStart w:id="0" w:name="_GoBack"/>
            <w:bookmarkEnd w:id="0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E11D2E" w:rsidP="00B44ABB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资产及利息均已逾期超过</w:t>
            </w:r>
            <w:r w:rsidRPr="00DF3A1C">
              <w:rPr>
                <w:rFonts w:hint="eastAsia"/>
              </w:rPr>
              <w:t>90</w:t>
            </w:r>
            <w:r w:rsidRPr="00DF3A1C">
              <w:rPr>
                <w:rFonts w:hint="eastAsia"/>
              </w:rPr>
              <w:t>天，不影响产品正常兑付。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温州市城市建设投资集团有限公司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16</w:t>
            </w:r>
            <w:r w:rsidRPr="00DF3A1C">
              <w:rPr>
                <w:rFonts w:hint="eastAsia"/>
              </w:rPr>
              <w:t>浙温州城投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460.00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海宁市盐官景区综合开发有限公司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18</w:t>
            </w:r>
            <w:r w:rsidRPr="00DF3A1C">
              <w:rPr>
                <w:rFonts w:hint="eastAsia"/>
              </w:rPr>
              <w:t>浙海宁盐官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121.00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海宁市盐官景区综合开发有限公司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r w:rsidRPr="00DF3A1C">
              <w:rPr>
                <w:rFonts w:hint="eastAsia"/>
              </w:rPr>
              <w:t>浙海宁盐官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121.00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丽水</w:t>
            </w:r>
            <w:proofErr w:type="gramStart"/>
            <w:r w:rsidRPr="00DF3A1C">
              <w:rPr>
                <w:rFonts w:hint="eastAsia"/>
              </w:rPr>
              <w:t>市莲都区</w:t>
            </w:r>
            <w:proofErr w:type="gramEnd"/>
            <w:r w:rsidRPr="00DF3A1C">
              <w:rPr>
                <w:rFonts w:hint="eastAsia"/>
              </w:rPr>
              <w:t>水利开发建设有限公司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16</w:t>
            </w:r>
            <w:proofErr w:type="gramStart"/>
            <w:r w:rsidRPr="00DF3A1C">
              <w:rPr>
                <w:rFonts w:hint="eastAsia"/>
              </w:rPr>
              <w:t>浙莲都</w:t>
            </w:r>
            <w:proofErr w:type="gramEnd"/>
            <w:r w:rsidRPr="00DF3A1C">
              <w:rPr>
                <w:rFonts w:hint="eastAsia"/>
              </w:rPr>
              <w:t>水发</w:t>
            </w:r>
            <w:r w:rsidRPr="00DF3A1C">
              <w:rPr>
                <w:rFonts w:hint="eastAsia"/>
              </w:rPr>
              <w:t>AB002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830.00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安吉七彩灵</w:t>
            </w:r>
            <w:proofErr w:type="gramStart"/>
            <w:r w:rsidRPr="00DF3A1C">
              <w:rPr>
                <w:rFonts w:hint="eastAsia"/>
              </w:rPr>
              <w:t>峰建设</w:t>
            </w:r>
            <w:proofErr w:type="gramEnd"/>
            <w:r w:rsidRPr="00DF3A1C">
              <w:rPr>
                <w:rFonts w:hint="eastAsia"/>
              </w:rPr>
              <w:t>发展有限公司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16</w:t>
            </w:r>
            <w:r w:rsidRPr="00DF3A1C">
              <w:rPr>
                <w:rFonts w:hint="eastAsia"/>
              </w:rPr>
              <w:t>浙安吉灵峰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482.00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上虞经济开发区投资开发有限公司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17</w:t>
            </w:r>
            <w:r w:rsidRPr="00DF3A1C">
              <w:rPr>
                <w:rFonts w:hint="eastAsia"/>
              </w:rPr>
              <w:t>浙上虞经开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132.00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正常</w:t>
            </w:r>
          </w:p>
        </w:tc>
      </w:tr>
      <w:tr w:rsidR="003E1F2F" w:rsidTr="00197C1C">
        <w:trPr>
          <w:trHeight w:val="240"/>
          <w:jc w:val="center"/>
        </w:trPr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浙江武义城市建设有限公司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>19</w:t>
            </w:r>
            <w:r w:rsidRPr="00DF3A1C">
              <w:rPr>
                <w:rFonts w:hint="eastAsia"/>
              </w:rPr>
              <w:t>浙武义城建</w:t>
            </w:r>
            <w:r w:rsidRPr="00DF3A1C">
              <w:rPr>
                <w:rFonts w:hint="eastAsia"/>
              </w:rPr>
              <w:t>AB001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F2F" w:rsidRPr="00236830" w:rsidRDefault="003E1F2F" w:rsidP="00DA3AFA">
            <w:pPr>
              <w:rPr>
                <w:rFonts w:hint="eastAsia"/>
              </w:rPr>
            </w:pPr>
            <w:r w:rsidRPr="00236830">
              <w:rPr>
                <w:rFonts w:hint="eastAsia"/>
              </w:rPr>
              <w:t>非标债权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1F2F" w:rsidRPr="00DF3A1C" w:rsidRDefault="003E1F2F" w:rsidP="00B44ABB">
            <w:pPr>
              <w:rPr>
                <w:rFonts w:hint="eastAsia"/>
              </w:rPr>
            </w:pPr>
            <w:r w:rsidRPr="00DF3A1C">
              <w:rPr>
                <w:rFonts w:hint="eastAsia"/>
              </w:rPr>
              <w:t xml:space="preserve">131.00 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F2F" w:rsidRDefault="003E1F2F" w:rsidP="00B44ABB">
            <w:r w:rsidRPr="00DF3A1C">
              <w:rPr>
                <w:rFonts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  <w:r w:rsidR="00CF0298">
        <w:rPr>
          <w:rFonts w:ascii="宋体" w:hAnsi="宋体" w:hint="eastAsia"/>
          <w:color w:val="000000"/>
          <w:szCs w:val="21"/>
        </w:rPr>
        <w:t>其他资产均为正常状态。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96" w:rsidRDefault="00790C96" w:rsidP="00747E15">
      <w:r>
        <w:separator/>
      </w:r>
    </w:p>
  </w:endnote>
  <w:endnote w:type="continuationSeparator" w:id="0">
    <w:p w:rsidR="00790C96" w:rsidRDefault="00790C9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96" w:rsidRDefault="00790C96" w:rsidP="00747E15">
      <w:r>
        <w:separator/>
      </w:r>
    </w:p>
  </w:footnote>
  <w:footnote w:type="continuationSeparator" w:id="0">
    <w:p w:rsidR="00790C96" w:rsidRDefault="00790C9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05F25"/>
    <w:rsid w:val="00026C30"/>
    <w:rsid w:val="00034EB1"/>
    <w:rsid w:val="00041CF5"/>
    <w:rsid w:val="0004473E"/>
    <w:rsid w:val="00050B6D"/>
    <w:rsid w:val="00063A00"/>
    <w:rsid w:val="00064987"/>
    <w:rsid w:val="000808AD"/>
    <w:rsid w:val="000A58C0"/>
    <w:rsid w:val="000A7A07"/>
    <w:rsid w:val="000B2257"/>
    <w:rsid w:val="000B6D04"/>
    <w:rsid w:val="000C33A9"/>
    <w:rsid w:val="000F4ED6"/>
    <w:rsid w:val="000F5E7E"/>
    <w:rsid w:val="00106270"/>
    <w:rsid w:val="00113702"/>
    <w:rsid w:val="00117AFB"/>
    <w:rsid w:val="00120614"/>
    <w:rsid w:val="00120E2F"/>
    <w:rsid w:val="00121446"/>
    <w:rsid w:val="001253E2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864FB"/>
    <w:rsid w:val="00194B35"/>
    <w:rsid w:val="00195CFF"/>
    <w:rsid w:val="00197C1C"/>
    <w:rsid w:val="001A1254"/>
    <w:rsid w:val="001A1F0C"/>
    <w:rsid w:val="001A204D"/>
    <w:rsid w:val="001A72F7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5422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E132D"/>
    <w:rsid w:val="002F02E2"/>
    <w:rsid w:val="002F21B2"/>
    <w:rsid w:val="002F6AD5"/>
    <w:rsid w:val="00305DE3"/>
    <w:rsid w:val="00311E44"/>
    <w:rsid w:val="00316E7D"/>
    <w:rsid w:val="00326849"/>
    <w:rsid w:val="00332886"/>
    <w:rsid w:val="00333409"/>
    <w:rsid w:val="003469B0"/>
    <w:rsid w:val="00346C2E"/>
    <w:rsid w:val="003729DF"/>
    <w:rsid w:val="00373677"/>
    <w:rsid w:val="003815E0"/>
    <w:rsid w:val="0038711B"/>
    <w:rsid w:val="00391BB6"/>
    <w:rsid w:val="0039500D"/>
    <w:rsid w:val="003A24B2"/>
    <w:rsid w:val="003B5CC6"/>
    <w:rsid w:val="003D3F6C"/>
    <w:rsid w:val="003E0232"/>
    <w:rsid w:val="003E1F2F"/>
    <w:rsid w:val="003E4D8B"/>
    <w:rsid w:val="003E6CDF"/>
    <w:rsid w:val="00404027"/>
    <w:rsid w:val="004118B6"/>
    <w:rsid w:val="004159F3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35F0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4E6CB2"/>
    <w:rsid w:val="004F3EA9"/>
    <w:rsid w:val="005204A8"/>
    <w:rsid w:val="00532CB2"/>
    <w:rsid w:val="00553503"/>
    <w:rsid w:val="00556FF5"/>
    <w:rsid w:val="00572B33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65D61"/>
    <w:rsid w:val="006761CD"/>
    <w:rsid w:val="00690080"/>
    <w:rsid w:val="00691D50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7323D"/>
    <w:rsid w:val="007812E4"/>
    <w:rsid w:val="00783ADA"/>
    <w:rsid w:val="00784FEC"/>
    <w:rsid w:val="00790C96"/>
    <w:rsid w:val="0079146A"/>
    <w:rsid w:val="007931FF"/>
    <w:rsid w:val="00796986"/>
    <w:rsid w:val="007A0A0E"/>
    <w:rsid w:val="007A2D9F"/>
    <w:rsid w:val="007A7935"/>
    <w:rsid w:val="007B1DC7"/>
    <w:rsid w:val="007B2D94"/>
    <w:rsid w:val="007B5435"/>
    <w:rsid w:val="007B72B7"/>
    <w:rsid w:val="007C3A4B"/>
    <w:rsid w:val="007E674C"/>
    <w:rsid w:val="007F05DC"/>
    <w:rsid w:val="007F4653"/>
    <w:rsid w:val="007F486F"/>
    <w:rsid w:val="00803A6A"/>
    <w:rsid w:val="008048AE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5DB2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06AC2"/>
    <w:rsid w:val="00A17FA5"/>
    <w:rsid w:val="00A20C0F"/>
    <w:rsid w:val="00A22C1A"/>
    <w:rsid w:val="00A25D53"/>
    <w:rsid w:val="00A4578C"/>
    <w:rsid w:val="00A47C96"/>
    <w:rsid w:val="00A620D3"/>
    <w:rsid w:val="00A66F45"/>
    <w:rsid w:val="00A735E4"/>
    <w:rsid w:val="00A8215E"/>
    <w:rsid w:val="00AB47C5"/>
    <w:rsid w:val="00AB53D1"/>
    <w:rsid w:val="00AB74F5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97B41"/>
    <w:rsid w:val="00BA58F5"/>
    <w:rsid w:val="00BB248B"/>
    <w:rsid w:val="00BC3C60"/>
    <w:rsid w:val="00BC6C87"/>
    <w:rsid w:val="00BE070B"/>
    <w:rsid w:val="00BE147D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CF0298"/>
    <w:rsid w:val="00D07160"/>
    <w:rsid w:val="00D1203F"/>
    <w:rsid w:val="00D1212F"/>
    <w:rsid w:val="00D137A7"/>
    <w:rsid w:val="00D160FD"/>
    <w:rsid w:val="00D23DE7"/>
    <w:rsid w:val="00D30981"/>
    <w:rsid w:val="00D50E73"/>
    <w:rsid w:val="00D51247"/>
    <w:rsid w:val="00D5232C"/>
    <w:rsid w:val="00D545F7"/>
    <w:rsid w:val="00D570FB"/>
    <w:rsid w:val="00D57BDC"/>
    <w:rsid w:val="00D62D31"/>
    <w:rsid w:val="00D63459"/>
    <w:rsid w:val="00D73589"/>
    <w:rsid w:val="00D84C43"/>
    <w:rsid w:val="00DA5D3B"/>
    <w:rsid w:val="00DB4B6B"/>
    <w:rsid w:val="00DC041F"/>
    <w:rsid w:val="00DC0BC9"/>
    <w:rsid w:val="00DD26B0"/>
    <w:rsid w:val="00DE7BE6"/>
    <w:rsid w:val="00DF32AC"/>
    <w:rsid w:val="00E03A0F"/>
    <w:rsid w:val="00E11D2E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D783B"/>
    <w:rsid w:val="00EF0DB2"/>
    <w:rsid w:val="00EF28D6"/>
    <w:rsid w:val="00F00768"/>
    <w:rsid w:val="00F1689B"/>
    <w:rsid w:val="00F16A9F"/>
    <w:rsid w:val="00F20317"/>
    <w:rsid w:val="00F20EA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41A1"/>
    <w:rsid w:val="00F568C2"/>
    <w:rsid w:val="00F61C96"/>
    <w:rsid w:val="00F65572"/>
    <w:rsid w:val="00F65660"/>
    <w:rsid w:val="00F86C97"/>
    <w:rsid w:val="00F91F77"/>
    <w:rsid w:val="00FA0B51"/>
    <w:rsid w:val="00FB2BDB"/>
    <w:rsid w:val="00FB5E90"/>
    <w:rsid w:val="00FB7323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34</cp:revision>
  <cp:lastPrinted>2019-01-03T08:39:00Z</cp:lastPrinted>
  <dcterms:created xsi:type="dcterms:W3CDTF">2020-04-16T06:39:00Z</dcterms:created>
  <dcterms:modified xsi:type="dcterms:W3CDTF">2020-08-21T08:38:00Z</dcterms:modified>
</cp:coreProperties>
</file>