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03" w:rsidRDefault="00E73778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bookmarkStart w:id="0" w:name="_GoBack"/>
      <w:r w:rsidRPr="00E737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r w:rsidR="0046180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福润潇湘开放式资产组合型理财产品</w:t>
      </w:r>
    </w:p>
    <w:bookmarkEnd w:id="0"/>
    <w:p w:rsidR="00E73778" w:rsidRDefault="00E73778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737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</w:t>
      </w:r>
      <w:r w:rsidR="00483C48">
        <w:rPr>
          <w:rFonts w:asciiTheme="minorEastAsia" w:eastAsiaTheme="minorEastAsia" w:hAnsiTheme="minorEastAsia"/>
          <w:color w:val="000000"/>
          <w:szCs w:val="21"/>
        </w:rPr>
        <w:t>12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月3</w:t>
      </w:r>
      <w:r w:rsidR="00483C48">
        <w:rPr>
          <w:rFonts w:asciiTheme="minorEastAsia" w:eastAsiaTheme="minorEastAsia" w:hAnsiTheme="minorEastAsia"/>
          <w:color w:val="000000"/>
          <w:szCs w:val="21"/>
        </w:rPr>
        <w:t>1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E73778" w:rsidRDefault="00E73778" w:rsidP="00E7377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377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乾元-福润潇湘开放式资产组合型理财产品于2016年11月16日正式成立。截至报告日，本产品规模为</w:t>
      </w:r>
      <w:r w:rsidR="00483C48" w:rsidRPr="00483C48">
        <w:rPr>
          <w:rFonts w:asciiTheme="minorEastAsia" w:eastAsiaTheme="minorEastAsia" w:hAnsiTheme="minorEastAsia"/>
          <w:color w:val="000000"/>
          <w:sz w:val="28"/>
          <w:szCs w:val="28"/>
        </w:rPr>
        <w:t>3,799,051,453.59</w:t>
      </w:r>
      <w:r w:rsidRPr="00E73778">
        <w:rPr>
          <w:rFonts w:asciiTheme="minorEastAsia" w:eastAsiaTheme="minorEastAsia" w:hAnsiTheme="minorEastAsia" w:hint="eastAsia"/>
          <w:color w:val="000000"/>
          <w:sz w:val="28"/>
          <w:szCs w:val="28"/>
        </w:rPr>
        <w:t>元，杠杆水平符合监管要求。</w:t>
      </w:r>
    </w:p>
    <w:p w:rsidR="00747E15" w:rsidRPr="00437C59" w:rsidRDefault="002F02E2" w:rsidP="00E7377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E7377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30359天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2145C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(年化)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176F4E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7377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3778">
              <w:rPr>
                <w:rFonts w:asciiTheme="minorEastAsia" w:eastAsiaTheme="minorEastAsia" w:hAnsiTheme="minorEastAsia" w:hint="eastAsia"/>
                <w:szCs w:val="21"/>
              </w:rPr>
              <w:t>乾元-福润潇湘开放式资产组合型理财产品</w:t>
            </w:r>
            <w:r w:rsidRPr="00E73778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E73778" w:rsidP="00E7377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20161111</w:t>
            </w:r>
          </w:p>
        </w:tc>
        <w:tc>
          <w:tcPr>
            <w:tcW w:w="1417" w:type="dxa"/>
            <w:vAlign w:val="center"/>
          </w:tcPr>
          <w:p w:rsidR="00E31B0A" w:rsidRPr="00E31B0A" w:rsidRDefault="00E73778" w:rsidP="00E7377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20161115</w:t>
            </w:r>
          </w:p>
        </w:tc>
        <w:tc>
          <w:tcPr>
            <w:tcW w:w="1418" w:type="dxa"/>
            <w:vAlign w:val="center"/>
          </w:tcPr>
          <w:p w:rsidR="00E31B0A" w:rsidRPr="00E31B0A" w:rsidRDefault="00E7377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20161116</w:t>
            </w:r>
          </w:p>
        </w:tc>
        <w:tc>
          <w:tcPr>
            <w:tcW w:w="1326" w:type="dxa"/>
            <w:vAlign w:val="center"/>
          </w:tcPr>
          <w:p w:rsidR="00E31B0A" w:rsidRPr="00E31B0A" w:rsidRDefault="00E7377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20991230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176F4E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945"/>
        <w:gridCol w:w="1315"/>
        <w:gridCol w:w="1945"/>
        <w:gridCol w:w="1315"/>
      </w:tblGrid>
      <w:tr w:rsidR="005204A8" w:rsidTr="00A61BF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945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315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945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315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61BF4" w:rsidTr="00A61BF4">
        <w:trPr>
          <w:trHeight w:val="285"/>
          <w:jc w:val="center"/>
        </w:trPr>
        <w:tc>
          <w:tcPr>
            <w:tcW w:w="2547" w:type="dxa"/>
            <w:vAlign w:val="center"/>
          </w:tcPr>
          <w:p w:rsid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604,843,979.41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15.65%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604,843,979.41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15.65%</w:t>
            </w:r>
          </w:p>
        </w:tc>
      </w:tr>
      <w:tr w:rsidR="00A61BF4" w:rsidTr="00A61BF4">
        <w:trPr>
          <w:trHeight w:val="285"/>
          <w:jc w:val="center"/>
        </w:trPr>
        <w:tc>
          <w:tcPr>
            <w:tcW w:w="2547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500,400,000.00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12.95%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500,400,000.00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12.95%</w:t>
            </w:r>
          </w:p>
        </w:tc>
      </w:tr>
      <w:tr w:rsidR="00A61BF4" w:rsidTr="00A61BF4">
        <w:trPr>
          <w:trHeight w:val="285"/>
          <w:jc w:val="center"/>
        </w:trPr>
        <w:tc>
          <w:tcPr>
            <w:tcW w:w="2547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债券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2,935,235,749.04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75.96%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2,935,235,749.04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75.96%</w:t>
            </w:r>
          </w:p>
        </w:tc>
      </w:tr>
      <w:tr w:rsidR="00A61BF4" w:rsidTr="00A61BF4">
        <w:trPr>
          <w:trHeight w:val="285"/>
          <w:jc w:val="center"/>
        </w:trPr>
        <w:tc>
          <w:tcPr>
            <w:tcW w:w="2547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非标准化债权类资产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16,580,671.46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0.43%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16,580,671.46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0.43%</w:t>
            </w:r>
          </w:p>
        </w:tc>
      </w:tr>
      <w:tr w:rsidR="00A61BF4" w:rsidTr="00A61BF4">
        <w:trPr>
          <w:trHeight w:val="285"/>
          <w:jc w:val="center"/>
        </w:trPr>
        <w:tc>
          <w:tcPr>
            <w:tcW w:w="2547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权益类投资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6,835,904.81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0.18%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6,835,904.81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0.18%</w:t>
            </w:r>
          </w:p>
        </w:tc>
      </w:tr>
      <w:tr w:rsidR="00A61BF4" w:rsidTr="00A61BF4">
        <w:trPr>
          <w:trHeight w:val="285"/>
          <w:jc w:val="center"/>
        </w:trPr>
        <w:tc>
          <w:tcPr>
            <w:tcW w:w="2547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公募基金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300,000,000.00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7.76%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300,000,000.00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7.76%</w:t>
            </w:r>
          </w:p>
        </w:tc>
      </w:tr>
      <w:tr w:rsidR="00A61BF4" w:rsidTr="00A61BF4">
        <w:trPr>
          <w:trHeight w:val="285"/>
          <w:jc w:val="center"/>
        </w:trPr>
        <w:tc>
          <w:tcPr>
            <w:tcW w:w="2547" w:type="dxa"/>
            <w:vAlign w:val="center"/>
          </w:tcPr>
          <w:p w:rsid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4,363,896,304.72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112.94%</w:t>
            </w:r>
          </w:p>
        </w:tc>
        <w:tc>
          <w:tcPr>
            <w:tcW w:w="194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4,363,896,304.72</w:t>
            </w:r>
          </w:p>
        </w:tc>
        <w:tc>
          <w:tcPr>
            <w:tcW w:w="1315" w:type="dxa"/>
          </w:tcPr>
          <w:p w:rsidR="00A61BF4" w:rsidRPr="00A61BF4" w:rsidRDefault="00A61BF4" w:rsidP="00A61BF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61BF4">
              <w:rPr>
                <w:rFonts w:ascii="宋体" w:hAnsi="宋体" w:cs="宋体"/>
                <w:kern w:val="0"/>
              </w:rPr>
              <w:t>112.94%</w:t>
            </w:r>
          </w:p>
        </w:tc>
      </w:tr>
    </w:tbl>
    <w:p w:rsidR="005204A8" w:rsidRDefault="005204A8" w:rsidP="00176F4E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3694"/>
        <w:gridCol w:w="1825"/>
        <w:gridCol w:w="1752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现金及活期存款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604,843,979.41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15.65%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20农业银行永续债01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527,665,229.17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13.66%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湖南回购20201231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500,400,000.00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12.95%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18农业银行二级01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500,000,000.00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12.94%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17中国银行二级02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400,000,000.00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10.35%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19湘潭九华MTN001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300,000,000.00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7.76%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湖南货基20201230(建信天添益C)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300,000,000.00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7.76%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20三一MTN002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200,000,000.00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5.18%</w:t>
            </w:r>
          </w:p>
        </w:tc>
      </w:tr>
      <w:tr w:rsidR="00CA375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湖南分行17资兴债02(1780116)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179,442,952.78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4.64%</w:t>
            </w:r>
          </w:p>
        </w:tc>
      </w:tr>
      <w:tr w:rsidR="00CA3750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CA3750" w:rsidRPr="00C720CE" w:rsidRDefault="00CA3750" w:rsidP="00CA375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湖南分行17吉首管廊02(1780281)</w:t>
            </w:r>
          </w:p>
        </w:tc>
        <w:tc>
          <w:tcPr>
            <w:tcW w:w="1841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160,000,000.00</w:t>
            </w:r>
          </w:p>
        </w:tc>
        <w:tc>
          <w:tcPr>
            <w:tcW w:w="1859" w:type="dxa"/>
          </w:tcPr>
          <w:p w:rsidR="00CA3750" w:rsidRPr="001A6AB0" w:rsidRDefault="00CA3750" w:rsidP="001A6AB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A6AB0">
              <w:rPr>
                <w:rFonts w:ascii="宋体" w:hAnsi="宋体" w:cs="宋体"/>
                <w:kern w:val="0"/>
              </w:rPr>
              <w:t>4.14%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176F4E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</w:t>
            </w:r>
            <w:r w:rsidRPr="005E5562">
              <w:rPr>
                <w:rFonts w:ascii="宋体" w:hAnsi="宋体" w:hint="eastAsia"/>
                <w:sz w:val="24"/>
              </w:rPr>
              <w:lastRenderedPageBreak/>
              <w:t>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176F4E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托管户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E73778">
              <w:rPr>
                <w:rFonts w:ascii="宋体" w:hAnsi="宋体" w:cs="宋体" w:hint="eastAsia"/>
                <w:kern w:val="0"/>
              </w:rPr>
              <w:t>0008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176F4E">
      <w:pPr>
        <w:spacing w:afterLines="50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457E28" w:rsidP="00B837A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 w:rsidR="00176F4E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="00B837A0"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B837A0"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B837A0"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73778" w:rsidP="005204A8">
      <w:pPr>
        <w:jc w:val="center"/>
        <w:rPr>
          <w:b/>
          <w:color w:val="000000"/>
          <w:sz w:val="24"/>
          <w:szCs w:val="24"/>
        </w:rPr>
      </w:pPr>
      <w:r w:rsidRPr="00E73778">
        <w:rPr>
          <w:rFonts w:hint="eastAsia"/>
          <w:b/>
          <w:color w:val="000000"/>
          <w:sz w:val="24"/>
          <w:szCs w:val="24"/>
        </w:rPr>
        <w:t>乾元</w:t>
      </w:r>
      <w:r w:rsidRPr="00E73778">
        <w:rPr>
          <w:rFonts w:hint="eastAsia"/>
          <w:b/>
          <w:color w:val="000000"/>
          <w:sz w:val="24"/>
          <w:szCs w:val="24"/>
        </w:rPr>
        <w:t>-</w:t>
      </w:r>
      <w:r w:rsidRPr="00E73778">
        <w:rPr>
          <w:rFonts w:hint="eastAsia"/>
          <w:b/>
          <w:color w:val="000000"/>
          <w:sz w:val="24"/>
          <w:szCs w:val="24"/>
        </w:rPr>
        <w:t>福润潇湘开放式资产组合型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</w:t>
      </w:r>
      <w:r w:rsidR="00007E0F">
        <w:rPr>
          <w:rFonts w:ascii="宋体" w:hAnsi="宋体" w:hint="eastAsia"/>
          <w:color w:val="000000"/>
          <w:szCs w:val="21"/>
        </w:rPr>
        <w:t>12</w:t>
      </w:r>
      <w:r w:rsidR="00B837A0" w:rsidRPr="00B837A0">
        <w:rPr>
          <w:rFonts w:ascii="宋体" w:hAnsi="宋体" w:hint="eastAsia"/>
          <w:color w:val="000000"/>
          <w:szCs w:val="21"/>
        </w:rPr>
        <w:t>月3</w:t>
      </w:r>
      <w:r w:rsidR="00007E0F">
        <w:rPr>
          <w:rFonts w:ascii="宋体" w:hAnsi="宋体"/>
          <w:color w:val="000000"/>
          <w:szCs w:val="21"/>
        </w:rPr>
        <w:t>1</w:t>
      </w:r>
      <w:r w:rsidR="00B837A0" w:rsidRPr="00B837A0">
        <w:rPr>
          <w:rFonts w:ascii="宋体" w:hAnsi="宋体" w:hint="eastAsia"/>
          <w:color w:val="000000"/>
          <w:szCs w:val="21"/>
        </w:rPr>
        <w:t>日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73778" w:rsidRPr="00E73778">
        <w:rPr>
          <w:rFonts w:ascii="宋体" w:hAnsi="宋体" w:hint="eastAsia"/>
          <w:color w:val="000000"/>
          <w:szCs w:val="21"/>
        </w:rPr>
        <w:t>乾元-福润潇湘开放式资产组合型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/>
      </w:tblPr>
      <w:tblGrid>
        <w:gridCol w:w="2303"/>
        <w:gridCol w:w="3972"/>
        <w:gridCol w:w="769"/>
        <w:gridCol w:w="845"/>
        <w:gridCol w:w="633"/>
      </w:tblGrid>
      <w:tr w:rsidR="005204A8" w:rsidTr="00007E0F">
        <w:trPr>
          <w:trHeight w:val="765"/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07E0F" w:rsidTr="00007E0F">
        <w:trPr>
          <w:trHeight w:val="240"/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股权投资类（带回购）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长沙天心城市建设投资开发集团有限公司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0F" w:rsidRPr="00007E0F" w:rsidRDefault="00007E0F" w:rsidP="00007E0F">
            <w:r w:rsidRPr="00007E0F">
              <w:t>16</w:t>
            </w:r>
            <w:r w:rsidRPr="00007E0F">
              <w:t>湘天心城投</w:t>
            </w:r>
            <w:r w:rsidRPr="00007E0F">
              <w:t>AB003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1,092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E0F" w:rsidRPr="00470067" w:rsidRDefault="00007E0F" w:rsidP="00007E0F">
            <w:r w:rsidRPr="00470067">
              <w:rPr>
                <w:rFonts w:hint="eastAsia"/>
              </w:rPr>
              <w:t>正常</w:t>
            </w:r>
          </w:p>
        </w:tc>
      </w:tr>
      <w:tr w:rsidR="00007E0F" w:rsidTr="00007E0F">
        <w:trPr>
          <w:trHeight w:val="240"/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新股申购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招商银行股份有限公司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0F" w:rsidRPr="00007E0F" w:rsidRDefault="00007E0F" w:rsidP="00007E0F">
            <w:r w:rsidRPr="00007E0F">
              <w:t>招银优</w:t>
            </w:r>
            <w:r w:rsidRPr="00007E0F"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717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E0F" w:rsidRPr="00470067" w:rsidRDefault="00007E0F" w:rsidP="00007E0F">
            <w:r w:rsidRPr="00470067">
              <w:rPr>
                <w:rFonts w:hint="eastAsia"/>
              </w:rPr>
              <w:t>正常</w:t>
            </w:r>
          </w:p>
        </w:tc>
      </w:tr>
      <w:tr w:rsidR="00007E0F" w:rsidTr="00007E0F">
        <w:trPr>
          <w:trHeight w:val="240"/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股权投资类（带回购）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长沙市城北投资有限公司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E0F" w:rsidRPr="00007E0F" w:rsidRDefault="00007E0F" w:rsidP="00007E0F">
            <w:r w:rsidRPr="00007E0F">
              <w:t>17</w:t>
            </w:r>
            <w:r w:rsidRPr="00007E0F">
              <w:t>湘城北</w:t>
            </w:r>
            <w:r w:rsidRPr="00007E0F"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E0F" w:rsidRPr="00007E0F" w:rsidRDefault="00007E0F" w:rsidP="00007E0F">
            <w:r w:rsidRPr="00007E0F">
              <w:t>110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E0F" w:rsidRPr="00470067" w:rsidRDefault="00007E0F" w:rsidP="00007E0F">
            <w:r w:rsidRPr="00470067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 w:rsidSect="00F2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F5" w:rsidRDefault="00EB05F5" w:rsidP="00747E15">
      <w:r>
        <w:separator/>
      </w:r>
    </w:p>
  </w:endnote>
  <w:endnote w:type="continuationSeparator" w:id="1">
    <w:p w:rsidR="00EB05F5" w:rsidRDefault="00EB05F5" w:rsidP="0074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F5" w:rsidRDefault="00EB05F5" w:rsidP="00747E15">
      <w:r>
        <w:separator/>
      </w:r>
    </w:p>
  </w:footnote>
  <w:footnote w:type="continuationSeparator" w:id="1">
    <w:p w:rsidR="00EB05F5" w:rsidRDefault="00EB05F5" w:rsidP="00747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E4B"/>
    <w:rsid w:val="00000EA6"/>
    <w:rsid w:val="00004B86"/>
    <w:rsid w:val="0000637F"/>
    <w:rsid w:val="00007E0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6F4E"/>
    <w:rsid w:val="0017771F"/>
    <w:rsid w:val="0018438D"/>
    <w:rsid w:val="00194B35"/>
    <w:rsid w:val="00195CFF"/>
    <w:rsid w:val="001A1254"/>
    <w:rsid w:val="001A1F0C"/>
    <w:rsid w:val="001A204D"/>
    <w:rsid w:val="001A6AB0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57E28"/>
    <w:rsid w:val="00461803"/>
    <w:rsid w:val="00466EA0"/>
    <w:rsid w:val="00467A3A"/>
    <w:rsid w:val="00483C48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1207B"/>
    <w:rsid w:val="005204A8"/>
    <w:rsid w:val="00553503"/>
    <w:rsid w:val="00556FF5"/>
    <w:rsid w:val="00574C73"/>
    <w:rsid w:val="00575AC8"/>
    <w:rsid w:val="00576002"/>
    <w:rsid w:val="00581772"/>
    <w:rsid w:val="00584A2A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0C8E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1BF4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3750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3778"/>
    <w:rsid w:val="00E76F46"/>
    <w:rsid w:val="00E77447"/>
    <w:rsid w:val="00EA1F92"/>
    <w:rsid w:val="00EA7A9F"/>
    <w:rsid w:val="00EB05F5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339A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307B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325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唐哲凝</cp:lastModifiedBy>
  <cp:revision>9</cp:revision>
  <cp:lastPrinted>2019-01-03T08:39:00Z</cp:lastPrinted>
  <dcterms:created xsi:type="dcterms:W3CDTF">2021-03-23T03:00:00Z</dcterms:created>
  <dcterms:modified xsi:type="dcterms:W3CDTF">2021-03-26T07:56:00Z</dcterms:modified>
</cp:coreProperties>
</file>