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480D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443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HN072019443301D01</w:t>
            </w:r>
          </w:p>
        </w:tc>
        <w:tc>
          <w:tcPr>
            <w:tcW w:w="599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C1010519011600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80D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乾元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hint="eastAsia"/>
                <w:color w:val="000000"/>
                <w:sz w:val="16"/>
                <w:szCs w:val="16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6"/>
                <w:szCs w:val="16"/>
              </w:rPr>
              <w:t>封闭式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年第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  <w:r>
              <w:rPr>
                <w:rFonts w:hint="eastAsia"/>
                <w:color w:val="000000"/>
                <w:sz w:val="16"/>
                <w:szCs w:val="16"/>
              </w:rPr>
              <w:t>期</w:t>
            </w:r>
          </w:p>
        </w:tc>
        <w:tc>
          <w:tcPr>
            <w:tcW w:w="520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HN072020073210D01</w:t>
            </w:r>
          </w:p>
        </w:tc>
        <w:tc>
          <w:tcPr>
            <w:tcW w:w="599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C1010520003554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80DF2" w:rsidRPr="00C331A9" w:rsidTr="00286452">
        <w:trPr>
          <w:trHeight w:val="576"/>
          <w:jc w:val="center"/>
        </w:trPr>
        <w:tc>
          <w:tcPr>
            <w:tcW w:w="705" w:type="pct"/>
            <w:vAlign w:val="bottom"/>
          </w:tcPr>
          <w:p w:rsidR="00480DF2" w:rsidRDefault="00480DF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cs="Tahoma" w:hint="eastAsia"/>
                <w:color w:val="000000"/>
                <w:sz w:val="16"/>
                <w:szCs w:val="16"/>
              </w:rPr>
              <w:t>乾元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proofErr w:type="gramStart"/>
            <w:r>
              <w:rPr>
                <w:rFonts w:cs="Tahoma" w:hint="eastAsia"/>
                <w:color w:val="000000"/>
                <w:sz w:val="16"/>
                <w:szCs w:val="16"/>
              </w:rPr>
              <w:t>福润潇湘</w:t>
            </w:r>
            <w:proofErr w:type="gramEnd"/>
            <w:r>
              <w:rPr>
                <w:rFonts w:cs="Tahoma" w:hint="eastAsia"/>
                <w:color w:val="000000"/>
                <w:sz w:val="16"/>
                <w:szCs w:val="16"/>
              </w:rPr>
              <w:t>封闭式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Tahoma" w:hint="eastAsia"/>
                <w:color w:val="000000"/>
                <w:sz w:val="16"/>
                <w:szCs w:val="16"/>
              </w:rPr>
              <w:t>私享财富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)20</w:t>
            </w:r>
            <w:r>
              <w:rPr>
                <w:rFonts w:cs="Tahoma" w:hint="eastAsia"/>
                <w:color w:val="000000"/>
                <w:sz w:val="16"/>
                <w:szCs w:val="16"/>
              </w:rPr>
              <w:t>年第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  <w:r>
              <w:rPr>
                <w:rFonts w:cs="Tahoma" w:hint="eastAsia"/>
                <w:color w:val="000000"/>
                <w:sz w:val="16"/>
                <w:szCs w:val="16"/>
              </w:rPr>
              <w:t>期</w:t>
            </w:r>
          </w:p>
        </w:tc>
        <w:tc>
          <w:tcPr>
            <w:tcW w:w="520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HN072020129112D01</w:t>
            </w:r>
          </w:p>
        </w:tc>
        <w:tc>
          <w:tcPr>
            <w:tcW w:w="599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C1010520005095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80D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HN072020144150D01</w:t>
            </w:r>
          </w:p>
        </w:tc>
        <w:tc>
          <w:tcPr>
            <w:tcW w:w="599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C1010520005542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3.48%</w:t>
            </w:r>
          </w:p>
        </w:tc>
        <w:tc>
          <w:tcPr>
            <w:tcW w:w="364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80D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480DF2" w:rsidRDefault="00480D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HN072020201123D01</w:t>
            </w:r>
          </w:p>
        </w:tc>
        <w:tc>
          <w:tcPr>
            <w:tcW w:w="599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C1010520006856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80DF2" w:rsidRDefault="00480D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80DF2" w:rsidRDefault="00480D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3F4756">
        <w:rPr>
          <w:rFonts w:ascii="宋体" w:hAnsi="宋体" w:hint="eastAsia"/>
          <w:szCs w:val="21"/>
        </w:rPr>
        <w:t>26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C9" w:rsidRDefault="00623AC9" w:rsidP="00694936">
      <w:r>
        <w:separator/>
      </w:r>
    </w:p>
  </w:endnote>
  <w:endnote w:type="continuationSeparator" w:id="0">
    <w:p w:rsidR="00623AC9" w:rsidRDefault="00623AC9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C9" w:rsidRDefault="00623AC9" w:rsidP="00694936">
      <w:r>
        <w:separator/>
      </w:r>
    </w:p>
  </w:footnote>
  <w:footnote w:type="continuationSeparator" w:id="0">
    <w:p w:rsidR="00623AC9" w:rsidRDefault="00623AC9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0DF2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23AC9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100</cp:revision>
  <cp:lastPrinted>2020-07-24T03:49:00Z</cp:lastPrinted>
  <dcterms:created xsi:type="dcterms:W3CDTF">2019-07-30T06:45:00Z</dcterms:created>
  <dcterms:modified xsi:type="dcterms:W3CDTF">2020-12-31T06:24:00Z</dcterms:modified>
</cp:coreProperties>
</file>