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A0" w:rsidRDefault="003F07A0" w:rsidP="00DD26B0">
      <w:pPr>
        <w:widowControl/>
        <w:jc w:val="center"/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3F07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3F07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3F07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Pr="003F07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Pr="003F07A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)19年第468期半年度投资管理报告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3F07A0" w:rsidP="003F07A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07A0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3F07A0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3F07A0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3F07A0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3F07A0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)19年第468期于2019年10月24日正式成立。截至报告日，本产品规模为138,060,000.00元，杠杆水平符合监管要求。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3F07A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F07A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301天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3F07A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F07A0">
              <w:rPr>
                <w:rFonts w:asciiTheme="minorEastAsia" w:eastAsiaTheme="minorEastAsia" w:hAnsiTheme="minorEastAsia"/>
                <w:color w:val="000000"/>
                <w:szCs w:val="21"/>
              </w:rPr>
              <w:t>4.10%</w:t>
            </w:r>
            <w:r w:rsidRPr="003F07A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3F07A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07A0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3F07A0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3F07A0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3F07A0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3F07A0">
              <w:rPr>
                <w:rFonts w:asciiTheme="minorEastAsia" w:eastAsiaTheme="minorEastAsia" w:hAnsiTheme="minorEastAsia" w:hint="eastAsia"/>
                <w:szCs w:val="21"/>
              </w:rPr>
              <w:t>)19年第468期</w:t>
            </w:r>
            <w:r w:rsidRPr="003F07A0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3F07A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7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20191017</w:t>
            </w:r>
            <w:r w:rsidRPr="003F07A0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3F07A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7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20191023</w:t>
            </w:r>
            <w:r w:rsidRPr="003F07A0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3F07A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7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20191024</w:t>
            </w:r>
          </w:p>
        </w:tc>
        <w:tc>
          <w:tcPr>
            <w:tcW w:w="1326" w:type="dxa"/>
            <w:vAlign w:val="center"/>
          </w:tcPr>
          <w:p w:rsidR="00E31B0A" w:rsidRPr="00E31B0A" w:rsidRDefault="003F07A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F07A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20200820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3F07A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3,990,065.04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2.80%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3,990,065.04</w:t>
            </w:r>
          </w:p>
        </w:tc>
        <w:tc>
          <w:tcPr>
            <w:tcW w:w="1842" w:type="dxa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2.80%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3F07A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52,608,178.39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36.96%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52,608,178.39</w:t>
            </w:r>
          </w:p>
        </w:tc>
        <w:tc>
          <w:tcPr>
            <w:tcW w:w="1842" w:type="dxa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36.96%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3F07A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85,724,302.21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60.23%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3F07A0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142,322,545.64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100.00%</w:t>
            </w:r>
            <w:r w:rsidRPr="003F07A0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56,598,243.43</w:t>
            </w:r>
          </w:p>
        </w:tc>
        <w:tc>
          <w:tcPr>
            <w:tcW w:w="1842" w:type="dxa"/>
          </w:tcPr>
          <w:p w:rsidR="005204A8" w:rsidRDefault="003F07A0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07A0">
              <w:rPr>
                <w:rFonts w:ascii="宋体" w:hAnsi="宋体" w:cs="宋体"/>
                <w:kern w:val="0"/>
              </w:rPr>
              <w:t>39.77%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F07A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F07A0" w:rsidRPr="00C720CE" w:rsidRDefault="003F07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3F07A0" w:rsidRPr="002B2AC0" w:rsidRDefault="003F07A0" w:rsidP="00565567">
            <w:pPr>
              <w:rPr>
                <w:rFonts w:hint="eastAsia"/>
              </w:rPr>
            </w:pPr>
            <w:r w:rsidRPr="002B2AC0">
              <w:rPr>
                <w:rFonts w:hint="eastAsia"/>
              </w:rPr>
              <w:t>19</w:t>
            </w:r>
            <w:proofErr w:type="gramStart"/>
            <w:r w:rsidRPr="002B2AC0">
              <w:rPr>
                <w:rFonts w:hint="eastAsia"/>
              </w:rPr>
              <w:t>湘粮债</w:t>
            </w:r>
            <w:proofErr w:type="gramEnd"/>
          </w:p>
        </w:tc>
        <w:tc>
          <w:tcPr>
            <w:tcW w:w="1841" w:type="dxa"/>
          </w:tcPr>
          <w:p w:rsidR="003F07A0" w:rsidRPr="00056614" w:rsidRDefault="003F07A0" w:rsidP="00B737CB">
            <w:r w:rsidRPr="00056614">
              <w:t>52,608,178.39</w:t>
            </w:r>
          </w:p>
        </w:tc>
        <w:tc>
          <w:tcPr>
            <w:tcW w:w="1859" w:type="dxa"/>
          </w:tcPr>
          <w:p w:rsidR="003F07A0" w:rsidRPr="00F46F3F" w:rsidRDefault="003F07A0" w:rsidP="00964168">
            <w:r w:rsidRPr="00F46F3F">
              <w:t>36.96%</w:t>
            </w:r>
          </w:p>
        </w:tc>
      </w:tr>
      <w:tr w:rsidR="003F07A0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3F07A0" w:rsidRPr="00C720CE" w:rsidRDefault="003F07A0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3F07A0" w:rsidRPr="002B2AC0" w:rsidRDefault="003F07A0" w:rsidP="00565567">
            <w:pPr>
              <w:rPr>
                <w:rFonts w:hint="eastAsia"/>
              </w:rPr>
            </w:pPr>
            <w:r w:rsidRPr="002B2AC0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3F07A0" w:rsidRPr="00056614" w:rsidRDefault="003F07A0" w:rsidP="00B737CB">
            <w:r w:rsidRPr="00056614">
              <w:t>3,990,065.04</w:t>
            </w:r>
          </w:p>
        </w:tc>
        <w:tc>
          <w:tcPr>
            <w:tcW w:w="1859" w:type="dxa"/>
          </w:tcPr>
          <w:p w:rsidR="003F07A0" w:rsidRPr="00F46F3F" w:rsidRDefault="003F07A0" w:rsidP="00964168">
            <w:r w:rsidRPr="00F46F3F">
              <w:t>2.80%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3F07A0">
              <w:rPr>
                <w:rFonts w:ascii="宋体" w:hAnsi="宋体" w:cs="宋体" w:hint="eastAsia"/>
                <w:kern w:val="0"/>
              </w:rPr>
              <w:t>1079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3F07A0" w:rsidP="005204A8">
      <w:pPr>
        <w:jc w:val="center"/>
        <w:rPr>
          <w:b/>
          <w:color w:val="000000"/>
          <w:sz w:val="24"/>
          <w:szCs w:val="24"/>
        </w:rPr>
      </w:pPr>
      <w:r w:rsidRPr="003F07A0">
        <w:rPr>
          <w:rFonts w:hint="eastAsia"/>
          <w:b/>
          <w:color w:val="000000"/>
          <w:sz w:val="24"/>
          <w:szCs w:val="24"/>
        </w:rPr>
        <w:t>乾元</w:t>
      </w:r>
      <w:r w:rsidRPr="003F07A0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3F07A0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3F07A0">
        <w:rPr>
          <w:rFonts w:hint="eastAsia"/>
          <w:b/>
          <w:color w:val="000000"/>
          <w:sz w:val="24"/>
          <w:szCs w:val="24"/>
        </w:rPr>
        <w:t>封闭式</w:t>
      </w:r>
      <w:r w:rsidRPr="003F07A0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3F07A0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3F07A0">
        <w:rPr>
          <w:rFonts w:hint="eastAsia"/>
          <w:b/>
          <w:color w:val="000000"/>
          <w:sz w:val="24"/>
          <w:szCs w:val="24"/>
        </w:rPr>
        <w:t>)19</w:t>
      </w:r>
      <w:r w:rsidRPr="003F07A0">
        <w:rPr>
          <w:rFonts w:hint="eastAsia"/>
          <w:b/>
          <w:color w:val="000000"/>
          <w:sz w:val="24"/>
          <w:szCs w:val="24"/>
        </w:rPr>
        <w:t>年第</w:t>
      </w:r>
      <w:r w:rsidRPr="003F07A0">
        <w:rPr>
          <w:rFonts w:hint="eastAsia"/>
          <w:b/>
          <w:color w:val="000000"/>
          <w:sz w:val="24"/>
          <w:szCs w:val="24"/>
        </w:rPr>
        <w:t>468</w:t>
      </w:r>
      <w:r w:rsidRPr="003F07A0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F07A0" w:rsidRPr="003F07A0">
        <w:rPr>
          <w:rFonts w:ascii="宋体" w:hAnsi="宋体" w:hint="eastAsia"/>
          <w:color w:val="000000"/>
          <w:szCs w:val="21"/>
        </w:rPr>
        <w:t>乾元-福润潇湘封闭式(私享晋级)19年第468期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6"/>
        <w:gridCol w:w="4416"/>
        <w:gridCol w:w="1145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07A0" w:rsidP="005A08AB">
            <w:pPr>
              <w:jc w:val="center"/>
            </w:pPr>
            <w:r w:rsidRPr="003F07A0">
              <w:rPr>
                <w:rFonts w:hint="eastAsia"/>
              </w:rPr>
              <w:t>产业基金</w:t>
            </w:r>
            <w:r w:rsidRPr="003F07A0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07A0" w:rsidP="005A08AB">
            <w:pPr>
              <w:jc w:val="center"/>
            </w:pPr>
            <w:r w:rsidRPr="003F07A0">
              <w:rPr>
                <w:rFonts w:hint="eastAsia"/>
              </w:rPr>
              <w:t>长沙天心城市建设投资开发集团有限公司</w:t>
            </w:r>
            <w:r w:rsidRPr="003F07A0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3F07A0" w:rsidP="005A08AB">
            <w:pPr>
              <w:jc w:val="center"/>
            </w:pPr>
            <w:r w:rsidRPr="003F07A0">
              <w:rPr>
                <w:rFonts w:hint="eastAsia"/>
              </w:rPr>
              <w:t>17</w:t>
            </w:r>
            <w:proofErr w:type="gramStart"/>
            <w:r w:rsidRPr="003F07A0">
              <w:rPr>
                <w:rFonts w:hint="eastAsia"/>
              </w:rPr>
              <w:t>湘天心城</w:t>
            </w:r>
            <w:proofErr w:type="gramEnd"/>
            <w:r w:rsidRPr="003F07A0">
              <w:rPr>
                <w:rFonts w:hint="eastAsia"/>
              </w:rPr>
              <w:t>投</w:t>
            </w:r>
            <w:r w:rsidRPr="003F07A0">
              <w:rPr>
                <w:rFonts w:hint="eastAsia"/>
              </w:rPr>
              <w:t>AB002</w:t>
            </w:r>
            <w:r w:rsidRPr="003F07A0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07A0" w:rsidP="005A08AB">
            <w:pPr>
              <w:jc w:val="center"/>
            </w:pPr>
            <w:r w:rsidRPr="003F07A0">
              <w:t>1,276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3F07A0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3F07A0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AD" w:rsidRDefault="00BF26AD" w:rsidP="00747E15">
      <w:r>
        <w:separator/>
      </w:r>
    </w:p>
  </w:endnote>
  <w:endnote w:type="continuationSeparator" w:id="0">
    <w:p w:rsidR="00BF26AD" w:rsidRDefault="00BF26A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AD" w:rsidRDefault="00BF26AD" w:rsidP="00747E15">
      <w:r>
        <w:separator/>
      </w:r>
    </w:p>
  </w:footnote>
  <w:footnote w:type="continuationSeparator" w:id="0">
    <w:p w:rsidR="00BF26AD" w:rsidRDefault="00BF26A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3F07A0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26AD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2020-09-07T03:26:00Z</dcterms:created>
  <dcterms:modified xsi:type="dcterms:W3CDTF">2020-09-07T03:26:00Z</dcterms:modified>
</cp:coreProperties>
</file>